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D" w:rsidRPr="005711AD" w:rsidRDefault="005711AD" w:rsidP="005711A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361. Налоговые ставки</w:t>
      </w:r>
    </w:p>
    <w:p w:rsidR="005711AD" w:rsidRPr="005711AD" w:rsidRDefault="005711AD" w:rsidP="005711AD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6332"/>
      <w:bookmarkEnd w:id="0"/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Налоговые ставки устанавливаются законами субъектов Российской Федерации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4"/>
        <w:gridCol w:w="1646"/>
      </w:tblGrid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6333"/>
            <w:bookmarkEnd w:id="1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Наименование объекта налогообложения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Налоговая ставка (в рублях)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6334"/>
            <w:bookmarkEnd w:id="2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6335"/>
            <w:bookmarkEnd w:id="3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2,5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6336"/>
            <w:bookmarkEnd w:id="4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3,5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6337"/>
            <w:bookmarkEnd w:id="5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6338"/>
            <w:bookmarkEnd w:id="6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7,5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6339"/>
            <w:bookmarkEnd w:id="7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250 л.с. (свыше 183,9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15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6340"/>
            <w:bookmarkEnd w:id="8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6341"/>
            <w:bookmarkEnd w:id="9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до 20 л.с. (до 14,7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1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6342"/>
            <w:bookmarkEnd w:id="10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6343"/>
            <w:bookmarkEnd w:id="11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35 л.с. (свыше 25,74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6344"/>
            <w:bookmarkEnd w:id="12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6345"/>
            <w:bookmarkEnd w:id="13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до 200 л.с. (до 147,1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6346"/>
            <w:bookmarkEnd w:id="14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200 л.с. (свыше 147,1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10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6347"/>
            <w:bookmarkEnd w:id="15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6348"/>
            <w:bookmarkEnd w:id="16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2,5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6349"/>
            <w:bookmarkEnd w:id="17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4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6350"/>
            <w:bookmarkEnd w:id="18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6351"/>
            <w:bookmarkEnd w:id="19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lastRenderedPageBreak/>
              <w:t>свыше 200 л.с. до 250 л.с. (свыше 147,1 кВт до 183,9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6,5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6352"/>
            <w:bookmarkEnd w:id="20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250 л.с. (свыше 183,9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8,5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6353"/>
            <w:bookmarkEnd w:id="21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2,5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6354"/>
            <w:bookmarkEnd w:id="22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6355"/>
            <w:bookmarkEnd w:id="23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до 50 л.с. (до 36,77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2,5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6356"/>
            <w:bookmarkEnd w:id="24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50 л.с. (свыше 36,77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6357"/>
            <w:bookmarkEnd w:id="25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6358"/>
            <w:bookmarkEnd w:id="26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10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7" w:name="dst6359"/>
            <w:bookmarkEnd w:id="27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100 л.с. (свыше 73,55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20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6360"/>
            <w:bookmarkEnd w:id="28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6361"/>
            <w:bookmarkEnd w:id="29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20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0" w:name="dst6362"/>
            <w:bookmarkEnd w:id="30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100 л.с. (свыше 73,55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40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1" w:name="dst6363"/>
            <w:bookmarkEnd w:id="31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2" w:name="dst6364"/>
            <w:bookmarkEnd w:id="32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3" w:name="dst6365"/>
            <w:bookmarkEnd w:id="33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свыше 100 л.с. (свыше 73,55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50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4" w:name="dst6366"/>
            <w:bookmarkEnd w:id="34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20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5" w:name="dst6367"/>
            <w:bookmarkEnd w:id="35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25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6" w:name="dst6368"/>
            <w:bookmarkEnd w:id="36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20</w:t>
            </w:r>
          </w:p>
        </w:tc>
      </w:tr>
      <w:tr w:rsidR="005711AD" w:rsidRPr="005711AD" w:rsidTr="005711A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7" w:name="dst6369"/>
            <w:bookmarkEnd w:id="37"/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1AD" w:rsidRPr="005711AD" w:rsidRDefault="005711AD" w:rsidP="005711A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11AD">
              <w:rPr>
                <w:rFonts w:ascii="Arial" w:eastAsia="Times New Roman" w:hAnsi="Arial" w:cs="Arial"/>
                <w:sz w:val="21"/>
                <w:lang w:eastAsia="ru-RU"/>
              </w:rPr>
              <w:t>200</w:t>
            </w:r>
          </w:p>
        </w:tc>
      </w:tr>
    </w:tbl>
    <w:p w:rsidR="005711AD" w:rsidRPr="005711AD" w:rsidRDefault="005711AD" w:rsidP="005711A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 в ред. Федерального </w:t>
      </w:r>
      <w:hyperlink r:id="rId4" w:anchor="dst100014" w:history="1">
        <w:r w:rsidRPr="005711A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27.11.2010 N 307-ФЗ)</w:t>
      </w:r>
    </w:p>
    <w:p w:rsidR="005711AD" w:rsidRPr="005711AD" w:rsidRDefault="005711AD" w:rsidP="005711A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4966"/>
      <w:bookmarkEnd w:id="38"/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Налоговые ставки, указанные в </w:t>
      </w:r>
      <w:hyperlink r:id="rId5" w:anchor="dst702" w:history="1">
        <w:r w:rsidRPr="005711A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</w:t>
        </w:r>
      </w:hyperlink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могут быть увеличены (уменьшены) законами субъектов Российской Федерации, но не более чем в десять раз.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6370"/>
      <w:bookmarkEnd w:id="39"/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Указанное ограничение размера уменьшения налоговых ставок законами субъектов Российской Федерации не применяется в отношении автомобилей </w:t>
      </w: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легковых с мощностью двигателя (с каждой лошадиной силы) до 150 л.с. (до 110,33 кВт) включительно.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6" w:anchor="dst100053" w:history="1">
        <w:r w:rsidRPr="005711A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27.11.2010 N 307-ФЗ)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2 в ред. Федерального </w:t>
      </w:r>
      <w:hyperlink r:id="rId7" w:anchor="dst100052" w:history="1">
        <w:r w:rsidRPr="005711A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28.11.2009 N 282-ФЗ)</w:t>
      </w:r>
    </w:p>
    <w:p w:rsidR="005711AD" w:rsidRPr="005711AD" w:rsidRDefault="005711AD" w:rsidP="005711A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4967"/>
      <w:bookmarkEnd w:id="40"/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Допускается установление дифференцированных налоговых ставок в отношении каждой категории транспортных средств, а также с учетом количества лет, прошедших с года выпуска транспортных средств, и (или) их экологического класса.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8" w:anchor="dst100054" w:history="1">
        <w:r w:rsidRPr="005711A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28.11.2009 N 282-ФЗ)</w:t>
      </w:r>
    </w:p>
    <w:p w:rsidR="005711AD" w:rsidRPr="005711AD" w:rsidRDefault="005711AD" w:rsidP="005711A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4968"/>
      <w:bookmarkEnd w:id="41"/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лет, прошедших с года выпуска транспортного средства, определяется по состоянию на 1 января текущего года в календарных годах с года, следующего за годом выпуска транспортного средства.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9" w:anchor="dst100056" w:history="1">
        <w:r w:rsidRPr="005711A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28.11.2009 N 282-ФЗ)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8120"/>
      <w:bookmarkEnd w:id="42"/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случае, если налоговые ставки не определены законами субъектов Российской Федерации, налогообложение производится по налоговым ставкам, указанным в </w:t>
      </w:r>
      <w:hyperlink r:id="rId10" w:anchor="dst6332" w:history="1">
        <w:r w:rsidRPr="005711A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</w:t>
        </w:r>
      </w:hyperlink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статьи.</w:t>
      </w:r>
    </w:p>
    <w:p w:rsidR="005711AD" w:rsidRPr="005711AD" w:rsidRDefault="005711AD" w:rsidP="005711A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4 введен Федеральным </w:t>
      </w:r>
      <w:hyperlink r:id="rId11" w:anchor="dst100012" w:history="1">
        <w:r w:rsidRPr="005711A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711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29.11.2012 N 202-ФЗ)</w:t>
      </w:r>
    </w:p>
    <w:p w:rsidR="00235A2D" w:rsidRDefault="00235A2D"/>
    <w:sectPr w:rsidR="00235A2D" w:rsidSect="0023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1AD"/>
    <w:rsid w:val="00235A2D"/>
    <w:rsid w:val="0057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2D"/>
  </w:style>
  <w:style w:type="paragraph" w:styleId="1">
    <w:name w:val="heading 1"/>
    <w:basedOn w:val="a"/>
    <w:link w:val="10"/>
    <w:uiPriority w:val="9"/>
    <w:qFormat/>
    <w:rsid w:val="00571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711AD"/>
  </w:style>
  <w:style w:type="character" w:customStyle="1" w:styleId="hl">
    <w:name w:val="hl"/>
    <w:basedOn w:val="a0"/>
    <w:rsid w:val="005711AD"/>
  </w:style>
  <w:style w:type="character" w:customStyle="1" w:styleId="nobr">
    <w:name w:val="nobr"/>
    <w:basedOn w:val="a0"/>
    <w:rsid w:val="005711AD"/>
  </w:style>
  <w:style w:type="character" w:styleId="a3">
    <w:name w:val="Hyperlink"/>
    <w:basedOn w:val="a0"/>
    <w:uiPriority w:val="99"/>
    <w:semiHidden/>
    <w:unhideWhenUsed/>
    <w:rsid w:val="00571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8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4196/3d0cac60971a511280cbba229d9b6329c07731f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4196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7177/3d0cac60971a511280cbba229d9b6329c07731f7/" TargetMode="External"/><Relationship Id="rId11" Type="http://schemas.openxmlformats.org/officeDocument/2006/relationships/hyperlink" Target="http://www.consultant.ru/document/cons_doc_LAW_138317/3d0cac60971a511280cbba229d9b6329c07731f7/" TargetMode="External"/><Relationship Id="rId5" Type="http://schemas.openxmlformats.org/officeDocument/2006/relationships/hyperlink" Target="http://www.consultant.ru/document/cons_doc_LAW_296695/74259166683667ce2b14c160952f1885c5b83961/" TargetMode="External"/><Relationship Id="rId10" Type="http://schemas.openxmlformats.org/officeDocument/2006/relationships/hyperlink" Target="http://www.consultant.ru/document/cons_doc_LAW_296695/74259166683667ce2b14c160952f1885c5b83961/" TargetMode="External"/><Relationship Id="rId4" Type="http://schemas.openxmlformats.org/officeDocument/2006/relationships/hyperlink" Target="http://www.consultant.ru/document/cons_doc_LAW_107177/3d0cac60971a511280cbba229d9b6329c07731f7/" TargetMode="External"/><Relationship Id="rId9" Type="http://schemas.openxmlformats.org/officeDocument/2006/relationships/hyperlink" Target="http://www.consultant.ru/document/cons_doc_LAW_9419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2018-05-18T15:42:00Z</dcterms:created>
  <dcterms:modified xsi:type="dcterms:W3CDTF">2018-05-18T15:42:00Z</dcterms:modified>
</cp:coreProperties>
</file>