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EF" w:rsidRPr="00041EEF" w:rsidRDefault="00041EEF" w:rsidP="00041EEF">
      <w:pPr>
        <w:shd w:val="clear" w:color="auto" w:fill="F4F3F8"/>
        <w:spacing w:after="96" w:line="240" w:lineRule="auto"/>
        <w:jc w:val="both"/>
        <w:rPr>
          <w:rFonts w:ascii="Arial" w:eastAsia="Times New Roman" w:hAnsi="Arial" w:cs="Arial"/>
          <w:color w:val="333333"/>
          <w:sz w:val="24"/>
          <w:szCs w:val="24"/>
          <w:lang w:eastAsia="ru-RU"/>
        </w:rPr>
      </w:pPr>
      <w:r w:rsidRPr="00041EEF">
        <w:rPr>
          <w:rFonts w:ascii="Arial" w:eastAsia="Times New Roman" w:hAnsi="Arial" w:cs="Arial"/>
          <w:color w:val="333333"/>
          <w:sz w:val="24"/>
          <w:szCs w:val="24"/>
          <w:lang w:eastAsia="ru-RU"/>
        </w:rPr>
        <w:t>С 1 января 2028 года Федеральным </w:t>
      </w:r>
      <w:hyperlink r:id="rId4" w:anchor="dst100820" w:history="1">
        <w:r w:rsidRPr="00041EEF">
          <w:rPr>
            <w:rFonts w:ascii="Arial" w:eastAsia="Times New Roman" w:hAnsi="Arial" w:cs="Arial"/>
            <w:color w:val="666699"/>
            <w:sz w:val="24"/>
            <w:szCs w:val="24"/>
            <w:u w:val="single"/>
            <w:lang w:eastAsia="ru-RU"/>
          </w:rPr>
          <w:t>законом</w:t>
        </w:r>
      </w:hyperlink>
      <w:r w:rsidRPr="00041EEF">
        <w:rPr>
          <w:rFonts w:ascii="Arial" w:eastAsia="Times New Roman" w:hAnsi="Arial" w:cs="Arial"/>
          <w:color w:val="333333"/>
          <w:sz w:val="24"/>
          <w:szCs w:val="24"/>
          <w:lang w:eastAsia="ru-RU"/>
        </w:rPr>
        <w:t> от 27.11.2017 N 335-ФЗ статья 286.1 признается утратившей силу.</w:t>
      </w:r>
    </w:p>
    <w:p w:rsidR="00041EEF" w:rsidRPr="00041EEF" w:rsidRDefault="00041EEF" w:rsidP="00041EEF">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5088"/>
      <w:bookmarkEnd w:id="0"/>
      <w:r w:rsidRPr="00041EEF">
        <w:rPr>
          <w:rFonts w:ascii="Arial" w:eastAsia="Times New Roman" w:hAnsi="Arial" w:cs="Arial"/>
          <w:b/>
          <w:bCs/>
          <w:color w:val="333333"/>
          <w:kern w:val="36"/>
          <w:sz w:val="24"/>
          <w:lang w:eastAsia="ru-RU"/>
        </w:rPr>
        <w:t>Статья 286.1. Инвестиционный налоговый вычет</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r w:rsidRPr="00041EEF">
        <w:rPr>
          <w:rFonts w:ascii="Arial" w:eastAsia="Times New Roman" w:hAnsi="Arial" w:cs="Arial"/>
          <w:color w:val="333333"/>
          <w:sz w:val="24"/>
          <w:szCs w:val="24"/>
          <w:lang w:eastAsia="ru-RU"/>
        </w:rPr>
        <w:t>(</w:t>
      </w:r>
      <w:proofErr w:type="gramStart"/>
      <w:r w:rsidRPr="00041EEF">
        <w:rPr>
          <w:rFonts w:ascii="Arial" w:eastAsia="Times New Roman" w:hAnsi="Arial" w:cs="Arial"/>
          <w:color w:val="333333"/>
          <w:sz w:val="24"/>
          <w:szCs w:val="24"/>
          <w:lang w:eastAsia="ru-RU"/>
        </w:rPr>
        <w:t>введена</w:t>
      </w:r>
      <w:proofErr w:type="gramEnd"/>
      <w:r w:rsidRPr="00041EEF">
        <w:rPr>
          <w:rFonts w:ascii="Arial" w:eastAsia="Times New Roman" w:hAnsi="Arial" w:cs="Arial"/>
          <w:color w:val="333333"/>
          <w:sz w:val="24"/>
          <w:szCs w:val="24"/>
          <w:lang w:eastAsia="ru-RU"/>
        </w:rPr>
        <w:t xml:space="preserve"> Федеральным </w:t>
      </w:r>
      <w:hyperlink r:id="rId5" w:anchor="dst100557" w:history="1">
        <w:r w:rsidRPr="00041EEF">
          <w:rPr>
            <w:rFonts w:ascii="Arial" w:eastAsia="Times New Roman" w:hAnsi="Arial" w:cs="Arial"/>
            <w:color w:val="666699"/>
            <w:sz w:val="24"/>
            <w:szCs w:val="24"/>
            <w:u w:val="single"/>
            <w:lang w:eastAsia="ru-RU"/>
          </w:rPr>
          <w:t>законом</w:t>
        </w:r>
      </w:hyperlink>
      <w:r w:rsidRPr="00041EEF">
        <w:rPr>
          <w:rFonts w:ascii="Arial" w:eastAsia="Times New Roman" w:hAnsi="Arial" w:cs="Arial"/>
          <w:color w:val="333333"/>
          <w:sz w:val="24"/>
          <w:szCs w:val="24"/>
          <w:lang w:eastAsia="ru-RU"/>
        </w:rPr>
        <w:t> от 27.11.2017 N 335-ФЗ)</w:t>
      </w:r>
    </w:p>
    <w:p w:rsidR="00041EEF" w:rsidRPr="00041EEF" w:rsidRDefault="00041EEF" w:rsidP="00041EEF">
      <w:pPr>
        <w:shd w:val="clear" w:color="auto" w:fill="FFFFFF"/>
        <w:spacing w:after="0" w:line="290" w:lineRule="atLeast"/>
        <w:jc w:val="both"/>
        <w:rPr>
          <w:rFonts w:ascii="Arial" w:eastAsia="Times New Roman" w:hAnsi="Arial" w:cs="Arial"/>
          <w:color w:val="333333"/>
          <w:sz w:val="24"/>
          <w:szCs w:val="24"/>
          <w:lang w:eastAsia="ru-RU"/>
        </w:rPr>
      </w:pPr>
      <w:r w:rsidRPr="00041EEF">
        <w:rPr>
          <w:rFonts w:ascii="Arial" w:eastAsia="Times New Roman" w:hAnsi="Arial" w:cs="Arial"/>
          <w:color w:val="333333"/>
          <w:sz w:val="24"/>
          <w:szCs w:val="24"/>
          <w:lang w:eastAsia="ru-RU"/>
        </w:rPr>
        <w:t> </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5089"/>
      <w:bookmarkEnd w:id="1"/>
      <w:r w:rsidRPr="00041EEF">
        <w:rPr>
          <w:rFonts w:ascii="Arial" w:eastAsia="Times New Roman" w:hAnsi="Arial" w:cs="Arial"/>
          <w:color w:val="333333"/>
          <w:sz w:val="24"/>
          <w:szCs w:val="24"/>
          <w:lang w:eastAsia="ru-RU"/>
        </w:rPr>
        <w:t xml:space="preserve">1. </w:t>
      </w:r>
      <w:proofErr w:type="gramStart"/>
      <w:r w:rsidRPr="00041EEF">
        <w:rPr>
          <w:rFonts w:ascii="Arial" w:eastAsia="Times New Roman" w:hAnsi="Arial" w:cs="Arial"/>
          <w:color w:val="333333"/>
          <w:sz w:val="24"/>
          <w:szCs w:val="24"/>
          <w:lang w:eastAsia="ru-RU"/>
        </w:rPr>
        <w:t>Налогоплательщик имеет право уменьшить суммы налога (авансового платежа), подлежащие зачислению в доходную часть бюджетов субъектов Российской Федерации, исчисленные им в качестве налогоплательщика в соответствии со </w:t>
      </w:r>
      <w:hyperlink r:id="rId6" w:anchor="dst102674" w:history="1">
        <w:r w:rsidRPr="00041EEF">
          <w:rPr>
            <w:rFonts w:ascii="Arial" w:eastAsia="Times New Roman" w:hAnsi="Arial" w:cs="Arial"/>
            <w:color w:val="666699"/>
            <w:sz w:val="24"/>
            <w:szCs w:val="24"/>
            <w:u w:val="single"/>
            <w:lang w:eastAsia="ru-RU"/>
          </w:rPr>
          <w:t>статьями 286</w:t>
        </w:r>
      </w:hyperlink>
      <w:r w:rsidRPr="00041EEF">
        <w:rPr>
          <w:rFonts w:ascii="Arial" w:eastAsia="Times New Roman" w:hAnsi="Arial" w:cs="Arial"/>
          <w:color w:val="333333"/>
          <w:sz w:val="24"/>
          <w:szCs w:val="24"/>
          <w:lang w:eastAsia="ru-RU"/>
        </w:rPr>
        <w:t> и </w:t>
      </w:r>
      <w:hyperlink r:id="rId7" w:anchor="dst102705" w:history="1">
        <w:r w:rsidRPr="00041EEF">
          <w:rPr>
            <w:rFonts w:ascii="Arial" w:eastAsia="Times New Roman" w:hAnsi="Arial" w:cs="Arial"/>
            <w:color w:val="666699"/>
            <w:sz w:val="24"/>
            <w:szCs w:val="24"/>
            <w:u w:val="single"/>
            <w:lang w:eastAsia="ru-RU"/>
          </w:rPr>
          <w:t>288</w:t>
        </w:r>
      </w:hyperlink>
      <w:r w:rsidRPr="00041EEF">
        <w:rPr>
          <w:rFonts w:ascii="Arial" w:eastAsia="Times New Roman" w:hAnsi="Arial" w:cs="Arial"/>
          <w:color w:val="333333"/>
          <w:sz w:val="24"/>
          <w:szCs w:val="24"/>
          <w:lang w:eastAsia="ru-RU"/>
        </w:rPr>
        <w:t> настоящего Кодекса по налоговой ставке, установленной </w:t>
      </w:r>
      <w:hyperlink r:id="rId8" w:anchor="dst11295" w:history="1">
        <w:r w:rsidRPr="00041EEF">
          <w:rPr>
            <w:rFonts w:ascii="Arial" w:eastAsia="Times New Roman" w:hAnsi="Arial" w:cs="Arial"/>
            <w:color w:val="666699"/>
            <w:sz w:val="24"/>
            <w:szCs w:val="24"/>
            <w:u w:val="single"/>
            <w:lang w:eastAsia="ru-RU"/>
          </w:rPr>
          <w:t>пунктом 1 статьи 284</w:t>
        </w:r>
      </w:hyperlink>
      <w:r w:rsidRPr="00041EEF">
        <w:rPr>
          <w:rFonts w:ascii="Arial" w:eastAsia="Times New Roman" w:hAnsi="Arial" w:cs="Arial"/>
          <w:color w:val="333333"/>
          <w:sz w:val="24"/>
          <w:szCs w:val="24"/>
          <w:lang w:eastAsia="ru-RU"/>
        </w:rPr>
        <w:t> настоящего Кодекса, по месту нахождения организации, а также по месту нахождения каждого из ее обособленных подразделений, на установленный настоящей статьей инвестиционный</w:t>
      </w:r>
      <w:proofErr w:type="gramEnd"/>
      <w:r w:rsidRPr="00041EEF">
        <w:rPr>
          <w:rFonts w:ascii="Arial" w:eastAsia="Times New Roman" w:hAnsi="Arial" w:cs="Arial"/>
          <w:color w:val="333333"/>
          <w:sz w:val="24"/>
          <w:szCs w:val="24"/>
          <w:lang w:eastAsia="ru-RU"/>
        </w:rPr>
        <w:t xml:space="preserve"> налоговый вычет в порядке и на условиях, которые установлены настоящей статьей.</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5090"/>
      <w:bookmarkEnd w:id="2"/>
      <w:r w:rsidRPr="00041EEF">
        <w:rPr>
          <w:rFonts w:ascii="Arial" w:eastAsia="Times New Roman" w:hAnsi="Arial" w:cs="Arial"/>
          <w:color w:val="333333"/>
          <w:sz w:val="24"/>
          <w:szCs w:val="24"/>
          <w:lang w:eastAsia="ru-RU"/>
        </w:rPr>
        <w:t xml:space="preserve">2. </w:t>
      </w:r>
      <w:proofErr w:type="gramStart"/>
      <w:r w:rsidRPr="00041EEF">
        <w:rPr>
          <w:rFonts w:ascii="Arial" w:eastAsia="Times New Roman" w:hAnsi="Arial" w:cs="Arial"/>
          <w:color w:val="333333"/>
          <w:sz w:val="24"/>
          <w:szCs w:val="24"/>
          <w:lang w:eastAsia="ru-RU"/>
        </w:rPr>
        <w:t>Инвестиционный налоговый вычет текущего налогового (отчетного) периода составляет не более 90 процентов суммы расходов текущего периода, указанных в </w:t>
      </w:r>
      <w:hyperlink r:id="rId9" w:anchor="dst4270" w:history="1">
        <w:r w:rsidRPr="00041EEF">
          <w:rPr>
            <w:rFonts w:ascii="Arial" w:eastAsia="Times New Roman" w:hAnsi="Arial" w:cs="Arial"/>
            <w:color w:val="666699"/>
            <w:sz w:val="24"/>
            <w:szCs w:val="24"/>
            <w:u w:val="single"/>
            <w:lang w:eastAsia="ru-RU"/>
          </w:rPr>
          <w:t>абзаце втором пункта 1 статьи 257</w:t>
        </w:r>
      </w:hyperlink>
      <w:r w:rsidRPr="00041EEF">
        <w:rPr>
          <w:rFonts w:ascii="Arial" w:eastAsia="Times New Roman" w:hAnsi="Arial" w:cs="Arial"/>
          <w:color w:val="333333"/>
          <w:sz w:val="24"/>
          <w:szCs w:val="24"/>
          <w:lang w:eastAsia="ru-RU"/>
        </w:rPr>
        <w:t> настоящего Кодекса, и (или) не более 90 процентов суммы расходов текущего периода на цели, указанные в </w:t>
      </w:r>
      <w:hyperlink r:id="rId10" w:anchor="dst102081" w:history="1">
        <w:r w:rsidRPr="00041EEF">
          <w:rPr>
            <w:rFonts w:ascii="Arial" w:eastAsia="Times New Roman" w:hAnsi="Arial" w:cs="Arial"/>
            <w:color w:val="666699"/>
            <w:sz w:val="24"/>
            <w:szCs w:val="24"/>
            <w:u w:val="single"/>
            <w:lang w:eastAsia="ru-RU"/>
          </w:rPr>
          <w:t>пункте 2 статьи 257</w:t>
        </w:r>
      </w:hyperlink>
      <w:r w:rsidRPr="00041EEF">
        <w:rPr>
          <w:rFonts w:ascii="Arial" w:eastAsia="Times New Roman" w:hAnsi="Arial" w:cs="Arial"/>
          <w:color w:val="333333"/>
          <w:sz w:val="24"/>
          <w:szCs w:val="24"/>
          <w:lang w:eastAsia="ru-RU"/>
        </w:rPr>
        <w:t> настоящего Кодекса (за исключением расходов на ликвидацию основных средств).</w:t>
      </w:r>
      <w:proofErr w:type="gramEnd"/>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5091"/>
      <w:bookmarkEnd w:id="3"/>
      <w:r w:rsidRPr="00041EEF">
        <w:rPr>
          <w:rFonts w:ascii="Arial" w:eastAsia="Times New Roman" w:hAnsi="Arial" w:cs="Arial"/>
          <w:color w:val="333333"/>
          <w:sz w:val="24"/>
          <w:szCs w:val="24"/>
          <w:lang w:eastAsia="ru-RU"/>
        </w:rPr>
        <w:t>Размер инвестиционного налогового вычета текущего налогового (отчетного) периода с учетом положений </w:t>
      </w:r>
      <w:hyperlink r:id="rId11" w:anchor="dst15107" w:history="1">
        <w:r w:rsidRPr="00041EEF">
          <w:rPr>
            <w:rFonts w:ascii="Arial" w:eastAsia="Times New Roman" w:hAnsi="Arial" w:cs="Arial"/>
            <w:color w:val="666699"/>
            <w:sz w:val="24"/>
            <w:szCs w:val="24"/>
            <w:u w:val="single"/>
            <w:lang w:eastAsia="ru-RU"/>
          </w:rPr>
          <w:t>пункта 9</w:t>
        </w:r>
      </w:hyperlink>
      <w:r w:rsidRPr="00041EEF">
        <w:rPr>
          <w:rFonts w:ascii="Arial" w:eastAsia="Times New Roman" w:hAnsi="Arial" w:cs="Arial"/>
          <w:color w:val="333333"/>
          <w:sz w:val="24"/>
          <w:szCs w:val="24"/>
          <w:lang w:eastAsia="ru-RU"/>
        </w:rPr>
        <w:t xml:space="preserve"> настоящей статьи не может быть </w:t>
      </w:r>
      <w:proofErr w:type="gramStart"/>
      <w:r w:rsidRPr="00041EEF">
        <w:rPr>
          <w:rFonts w:ascii="Arial" w:eastAsia="Times New Roman" w:hAnsi="Arial" w:cs="Arial"/>
          <w:color w:val="333333"/>
          <w:sz w:val="24"/>
          <w:szCs w:val="24"/>
          <w:lang w:eastAsia="ru-RU"/>
        </w:rPr>
        <w:t>более предельной</w:t>
      </w:r>
      <w:proofErr w:type="gramEnd"/>
      <w:r w:rsidRPr="00041EEF">
        <w:rPr>
          <w:rFonts w:ascii="Arial" w:eastAsia="Times New Roman" w:hAnsi="Arial" w:cs="Arial"/>
          <w:color w:val="333333"/>
          <w:sz w:val="24"/>
          <w:szCs w:val="24"/>
          <w:lang w:eastAsia="ru-RU"/>
        </w:rPr>
        <w:t xml:space="preserve"> величины инвестиционного налогового вычета.</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5092"/>
      <w:bookmarkEnd w:id="4"/>
      <w:proofErr w:type="gramStart"/>
      <w:r w:rsidRPr="00041EEF">
        <w:rPr>
          <w:rFonts w:ascii="Arial" w:eastAsia="Times New Roman" w:hAnsi="Arial" w:cs="Arial"/>
          <w:color w:val="333333"/>
          <w:sz w:val="24"/>
          <w:szCs w:val="24"/>
          <w:lang w:eastAsia="ru-RU"/>
        </w:rPr>
        <w:t>Предельная величина инвестиционного налогового вычета определяется в размере, равном разнице между расчетной суммой налога, подлежащей зачислению в бюджет соответствующего субъекта Российской Федерации за налоговый (отчетный) период, определенной налогоплательщиком без учета положений настоящей статьи, и расчетной суммой налога, подлежащей зачислению в бюджет соответствующего субъекта Российской Федерации за налоговый (отчетный) период, определенной без учета положений настоящей статьи, при условии применения ставки налога</w:t>
      </w:r>
      <w:proofErr w:type="gramEnd"/>
      <w:r w:rsidRPr="00041EEF">
        <w:rPr>
          <w:rFonts w:ascii="Arial" w:eastAsia="Times New Roman" w:hAnsi="Arial" w:cs="Arial"/>
          <w:color w:val="333333"/>
          <w:sz w:val="24"/>
          <w:szCs w:val="24"/>
          <w:lang w:eastAsia="ru-RU"/>
        </w:rPr>
        <w:t xml:space="preserve"> в размере, составляющем 5 процентов, если иной размер ставки не определен решением субъекта Российской Федерации.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5093"/>
      <w:bookmarkEnd w:id="5"/>
      <w:r w:rsidRPr="00041EEF">
        <w:rPr>
          <w:rFonts w:ascii="Arial" w:eastAsia="Times New Roman" w:hAnsi="Arial" w:cs="Arial"/>
          <w:color w:val="333333"/>
          <w:sz w:val="24"/>
          <w:szCs w:val="24"/>
          <w:lang w:eastAsia="ru-RU"/>
        </w:rPr>
        <w:t xml:space="preserve">3. </w:t>
      </w:r>
      <w:proofErr w:type="gramStart"/>
      <w:r w:rsidRPr="00041EEF">
        <w:rPr>
          <w:rFonts w:ascii="Arial" w:eastAsia="Times New Roman" w:hAnsi="Arial" w:cs="Arial"/>
          <w:color w:val="333333"/>
          <w:sz w:val="24"/>
          <w:szCs w:val="24"/>
          <w:lang w:eastAsia="ru-RU"/>
        </w:rPr>
        <w:t>Сумма налога, подлежащая зачислению в федеральный бюджет, подлежит уменьшению на величину, составляющую 10 процентов суммы расходов, указанных в </w:t>
      </w:r>
      <w:hyperlink r:id="rId12" w:anchor="dst4270" w:history="1">
        <w:r w:rsidRPr="00041EEF">
          <w:rPr>
            <w:rFonts w:ascii="Arial" w:eastAsia="Times New Roman" w:hAnsi="Arial" w:cs="Arial"/>
            <w:color w:val="666699"/>
            <w:sz w:val="24"/>
            <w:szCs w:val="24"/>
            <w:u w:val="single"/>
            <w:lang w:eastAsia="ru-RU"/>
          </w:rPr>
          <w:t>абзаце втором пункта 1 статьи 257</w:t>
        </w:r>
      </w:hyperlink>
      <w:r w:rsidRPr="00041EEF">
        <w:rPr>
          <w:rFonts w:ascii="Arial" w:eastAsia="Times New Roman" w:hAnsi="Arial" w:cs="Arial"/>
          <w:color w:val="333333"/>
          <w:sz w:val="24"/>
          <w:szCs w:val="24"/>
          <w:lang w:eastAsia="ru-RU"/>
        </w:rPr>
        <w:t> настоящего Кодекса, и (или) 10 процентов суммы расходов на цели, указанные в </w:t>
      </w:r>
      <w:hyperlink r:id="rId13" w:anchor="dst102081" w:history="1">
        <w:r w:rsidRPr="00041EEF">
          <w:rPr>
            <w:rFonts w:ascii="Arial" w:eastAsia="Times New Roman" w:hAnsi="Arial" w:cs="Arial"/>
            <w:color w:val="666699"/>
            <w:sz w:val="24"/>
            <w:szCs w:val="24"/>
            <w:u w:val="single"/>
            <w:lang w:eastAsia="ru-RU"/>
          </w:rPr>
          <w:t>пункте 2 статьи 257</w:t>
        </w:r>
      </w:hyperlink>
      <w:r w:rsidRPr="00041EEF">
        <w:rPr>
          <w:rFonts w:ascii="Arial" w:eastAsia="Times New Roman" w:hAnsi="Arial" w:cs="Arial"/>
          <w:color w:val="333333"/>
          <w:sz w:val="24"/>
          <w:szCs w:val="24"/>
          <w:lang w:eastAsia="ru-RU"/>
        </w:rPr>
        <w:t> настоящего Кодекса (за исключением расходов на ликвидацию основных средств), при условии, что в отношении таких расходов налогоплательщик воспользовался правом на</w:t>
      </w:r>
      <w:proofErr w:type="gramEnd"/>
      <w:r w:rsidRPr="00041EEF">
        <w:rPr>
          <w:rFonts w:ascii="Arial" w:eastAsia="Times New Roman" w:hAnsi="Arial" w:cs="Arial"/>
          <w:color w:val="333333"/>
          <w:sz w:val="24"/>
          <w:szCs w:val="24"/>
          <w:lang w:eastAsia="ru-RU"/>
        </w:rPr>
        <w:t xml:space="preserve"> применение инвестиционного налогового вычета, предусмотренного настоящей статьей.</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5094"/>
      <w:bookmarkEnd w:id="6"/>
      <w:r w:rsidRPr="00041EEF">
        <w:rPr>
          <w:rFonts w:ascii="Arial" w:eastAsia="Times New Roman" w:hAnsi="Arial" w:cs="Arial"/>
          <w:color w:val="333333"/>
          <w:sz w:val="24"/>
          <w:szCs w:val="24"/>
          <w:lang w:eastAsia="ru-RU"/>
        </w:rPr>
        <w:t>При этом сумма налога в результате такого уменьшения может быть снижена до нуля.</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5095"/>
      <w:bookmarkEnd w:id="7"/>
      <w:r w:rsidRPr="00041EEF">
        <w:rPr>
          <w:rFonts w:ascii="Arial" w:eastAsia="Times New Roman" w:hAnsi="Arial" w:cs="Arial"/>
          <w:color w:val="333333"/>
          <w:sz w:val="24"/>
          <w:szCs w:val="24"/>
          <w:lang w:eastAsia="ru-RU"/>
        </w:rPr>
        <w:t>4. Инвестиционный налоговый вычет применяется к объектам основных средств, относящимся к третьей - седьмой амортизационным группам, по месту нахождения организации и (или) по месту нахождения ее обособленных подразделений, к которым относятся указанные объекты, с учетом положений </w:t>
      </w:r>
      <w:hyperlink r:id="rId14" w:anchor="dst15097" w:history="1">
        <w:r w:rsidRPr="00041EEF">
          <w:rPr>
            <w:rFonts w:ascii="Arial" w:eastAsia="Times New Roman" w:hAnsi="Arial" w:cs="Arial"/>
            <w:color w:val="666699"/>
            <w:sz w:val="24"/>
            <w:szCs w:val="24"/>
            <w:u w:val="single"/>
            <w:lang w:eastAsia="ru-RU"/>
          </w:rPr>
          <w:t>пункта 6</w:t>
        </w:r>
      </w:hyperlink>
      <w:r w:rsidRPr="00041EEF">
        <w:rPr>
          <w:rFonts w:ascii="Arial" w:eastAsia="Times New Roman" w:hAnsi="Arial" w:cs="Arial"/>
          <w:color w:val="333333"/>
          <w:sz w:val="24"/>
          <w:szCs w:val="24"/>
          <w:lang w:eastAsia="ru-RU"/>
        </w:rPr>
        <w:t> настоящей статьи.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5096"/>
      <w:bookmarkEnd w:id="8"/>
      <w:r w:rsidRPr="00041EEF">
        <w:rPr>
          <w:rFonts w:ascii="Arial" w:eastAsia="Times New Roman" w:hAnsi="Arial" w:cs="Arial"/>
          <w:color w:val="333333"/>
          <w:sz w:val="24"/>
          <w:szCs w:val="24"/>
          <w:lang w:eastAsia="ru-RU"/>
        </w:rPr>
        <w:t xml:space="preserve">5. Инвестиционный налоговый вычет применяется к налогу, исчисленному за налоговый (отчетный) период, в котором введен в эксплуатацию объект основных </w:t>
      </w:r>
      <w:r w:rsidRPr="00041EEF">
        <w:rPr>
          <w:rFonts w:ascii="Arial" w:eastAsia="Times New Roman" w:hAnsi="Arial" w:cs="Arial"/>
          <w:color w:val="333333"/>
          <w:sz w:val="24"/>
          <w:szCs w:val="24"/>
          <w:lang w:eastAsia="ru-RU"/>
        </w:rPr>
        <w:lastRenderedPageBreak/>
        <w:t>средств либо изменена первоначальная стоимость объекта основных средств, и за последующие налоговые (отчетные) периоды с учетом положений </w:t>
      </w:r>
      <w:hyperlink r:id="rId15" w:anchor="dst15107" w:history="1">
        <w:r w:rsidRPr="00041EEF">
          <w:rPr>
            <w:rFonts w:ascii="Arial" w:eastAsia="Times New Roman" w:hAnsi="Arial" w:cs="Arial"/>
            <w:color w:val="666699"/>
            <w:sz w:val="24"/>
            <w:szCs w:val="24"/>
            <w:u w:val="single"/>
            <w:lang w:eastAsia="ru-RU"/>
          </w:rPr>
          <w:t>пункта 9</w:t>
        </w:r>
      </w:hyperlink>
      <w:r w:rsidRPr="00041EEF">
        <w:rPr>
          <w:rFonts w:ascii="Arial" w:eastAsia="Times New Roman" w:hAnsi="Arial" w:cs="Arial"/>
          <w:color w:val="333333"/>
          <w:sz w:val="24"/>
          <w:szCs w:val="24"/>
          <w:lang w:eastAsia="ru-RU"/>
        </w:rPr>
        <w:t> настоящей статьи.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5097"/>
      <w:bookmarkEnd w:id="9"/>
      <w:r w:rsidRPr="00041EEF">
        <w:rPr>
          <w:rFonts w:ascii="Arial" w:eastAsia="Times New Roman" w:hAnsi="Arial" w:cs="Arial"/>
          <w:color w:val="333333"/>
          <w:sz w:val="24"/>
          <w:szCs w:val="24"/>
          <w:lang w:eastAsia="ru-RU"/>
        </w:rPr>
        <w:t>6. Законом субъекта Российской Федерации могут устанавливаться:</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5098"/>
      <w:bookmarkEnd w:id="10"/>
      <w:r w:rsidRPr="00041EEF">
        <w:rPr>
          <w:rFonts w:ascii="Arial" w:eastAsia="Times New Roman" w:hAnsi="Arial" w:cs="Arial"/>
          <w:color w:val="333333"/>
          <w:sz w:val="24"/>
          <w:szCs w:val="24"/>
          <w:lang w:eastAsia="ru-RU"/>
        </w:rPr>
        <w:t>1) право на применение инвестиционного налогового вычета в отношении расходов налогоплательщика, указанных в </w:t>
      </w:r>
      <w:hyperlink r:id="rId16" w:anchor="dst15090" w:history="1">
        <w:r w:rsidRPr="00041EEF">
          <w:rPr>
            <w:rFonts w:ascii="Arial" w:eastAsia="Times New Roman" w:hAnsi="Arial" w:cs="Arial"/>
            <w:color w:val="666699"/>
            <w:sz w:val="24"/>
            <w:szCs w:val="24"/>
            <w:u w:val="single"/>
            <w:lang w:eastAsia="ru-RU"/>
          </w:rPr>
          <w:t>пункте 2</w:t>
        </w:r>
      </w:hyperlink>
      <w:r w:rsidRPr="00041EEF">
        <w:rPr>
          <w:rFonts w:ascii="Arial" w:eastAsia="Times New Roman" w:hAnsi="Arial" w:cs="Arial"/>
          <w:color w:val="333333"/>
          <w:sz w:val="24"/>
          <w:szCs w:val="24"/>
          <w:lang w:eastAsia="ru-RU"/>
        </w:rPr>
        <w:t> настоящей статьи, применительно к объектам основных средств, относящимся к организациям или обособленным подразделениям организаций, расположенным на территории этого субъекта Российской Федерации;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5099"/>
      <w:bookmarkEnd w:id="11"/>
      <w:r w:rsidRPr="00041EEF">
        <w:rPr>
          <w:rFonts w:ascii="Arial" w:eastAsia="Times New Roman" w:hAnsi="Arial" w:cs="Arial"/>
          <w:color w:val="333333"/>
          <w:sz w:val="24"/>
          <w:szCs w:val="24"/>
          <w:lang w:eastAsia="ru-RU"/>
        </w:rPr>
        <w:t xml:space="preserve">2) размеры инвестиционного налогового вычета, </w:t>
      </w:r>
      <w:proofErr w:type="gramStart"/>
      <w:r w:rsidRPr="00041EEF">
        <w:rPr>
          <w:rFonts w:ascii="Arial" w:eastAsia="Times New Roman" w:hAnsi="Arial" w:cs="Arial"/>
          <w:color w:val="333333"/>
          <w:sz w:val="24"/>
          <w:szCs w:val="24"/>
          <w:lang w:eastAsia="ru-RU"/>
        </w:rPr>
        <w:t>право</w:t>
      </w:r>
      <w:proofErr w:type="gramEnd"/>
      <w:r w:rsidRPr="00041EEF">
        <w:rPr>
          <w:rFonts w:ascii="Arial" w:eastAsia="Times New Roman" w:hAnsi="Arial" w:cs="Arial"/>
          <w:color w:val="333333"/>
          <w:sz w:val="24"/>
          <w:szCs w:val="24"/>
          <w:lang w:eastAsia="ru-RU"/>
        </w:rPr>
        <w:t xml:space="preserve"> на применение которого предоставляется в соответствии с </w:t>
      </w:r>
      <w:hyperlink r:id="rId17" w:anchor="dst15098" w:history="1">
        <w:r w:rsidRPr="00041EEF">
          <w:rPr>
            <w:rFonts w:ascii="Arial" w:eastAsia="Times New Roman" w:hAnsi="Arial" w:cs="Arial"/>
            <w:color w:val="666699"/>
            <w:sz w:val="24"/>
            <w:szCs w:val="24"/>
            <w:u w:val="single"/>
            <w:lang w:eastAsia="ru-RU"/>
          </w:rPr>
          <w:t>подпунктом 1</w:t>
        </w:r>
      </w:hyperlink>
      <w:r w:rsidRPr="00041EEF">
        <w:rPr>
          <w:rFonts w:ascii="Arial" w:eastAsia="Times New Roman" w:hAnsi="Arial" w:cs="Arial"/>
          <w:color w:val="333333"/>
          <w:sz w:val="24"/>
          <w:szCs w:val="24"/>
          <w:lang w:eastAsia="ru-RU"/>
        </w:rPr>
        <w:t> настоящего пункта, не превышающие предельного размера, определяемого в соответствии с </w:t>
      </w:r>
      <w:hyperlink r:id="rId18" w:anchor="dst15090" w:history="1">
        <w:r w:rsidRPr="00041EEF">
          <w:rPr>
            <w:rFonts w:ascii="Arial" w:eastAsia="Times New Roman" w:hAnsi="Arial" w:cs="Arial"/>
            <w:color w:val="666699"/>
            <w:sz w:val="24"/>
            <w:szCs w:val="24"/>
            <w:u w:val="single"/>
            <w:lang w:eastAsia="ru-RU"/>
          </w:rPr>
          <w:t>пунктом 2</w:t>
        </w:r>
      </w:hyperlink>
      <w:r w:rsidRPr="00041EEF">
        <w:rPr>
          <w:rFonts w:ascii="Arial" w:eastAsia="Times New Roman" w:hAnsi="Arial" w:cs="Arial"/>
          <w:color w:val="333333"/>
          <w:sz w:val="24"/>
          <w:szCs w:val="24"/>
          <w:lang w:eastAsia="ru-RU"/>
        </w:rPr>
        <w:t> настоящей статьи;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5100"/>
      <w:bookmarkEnd w:id="12"/>
      <w:r w:rsidRPr="00041EEF">
        <w:rPr>
          <w:rFonts w:ascii="Arial" w:eastAsia="Times New Roman" w:hAnsi="Arial" w:cs="Arial"/>
          <w:color w:val="333333"/>
          <w:sz w:val="24"/>
          <w:szCs w:val="24"/>
          <w:lang w:eastAsia="ru-RU"/>
        </w:rPr>
        <w:t>3) категории налогоплательщиков, которым предоставляется (не предоставляется) право на применение инвестиционного налогового вычета, предусмотренное </w:t>
      </w:r>
      <w:hyperlink r:id="rId19" w:anchor="dst15098" w:history="1">
        <w:r w:rsidRPr="00041EEF">
          <w:rPr>
            <w:rFonts w:ascii="Arial" w:eastAsia="Times New Roman" w:hAnsi="Arial" w:cs="Arial"/>
            <w:color w:val="666699"/>
            <w:sz w:val="24"/>
            <w:szCs w:val="24"/>
            <w:u w:val="single"/>
            <w:lang w:eastAsia="ru-RU"/>
          </w:rPr>
          <w:t>подпунктом 1</w:t>
        </w:r>
      </w:hyperlink>
      <w:r w:rsidRPr="00041EEF">
        <w:rPr>
          <w:rFonts w:ascii="Arial" w:eastAsia="Times New Roman" w:hAnsi="Arial" w:cs="Arial"/>
          <w:color w:val="333333"/>
          <w:sz w:val="24"/>
          <w:szCs w:val="24"/>
          <w:lang w:eastAsia="ru-RU"/>
        </w:rPr>
        <w:t> настоящего пункта;</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5101"/>
      <w:bookmarkEnd w:id="13"/>
      <w:r w:rsidRPr="00041EEF">
        <w:rPr>
          <w:rFonts w:ascii="Arial" w:eastAsia="Times New Roman" w:hAnsi="Arial" w:cs="Arial"/>
          <w:color w:val="333333"/>
          <w:sz w:val="24"/>
          <w:szCs w:val="24"/>
          <w:lang w:eastAsia="ru-RU"/>
        </w:rPr>
        <w:t>4) категории объектов основных средств, в отношении которых налогоплательщикам предоставляется (не предоставляется) право на применение инвестиционного налогового вычета, предусмотренное </w:t>
      </w:r>
      <w:hyperlink r:id="rId20" w:anchor="dst15098" w:history="1">
        <w:r w:rsidRPr="00041EEF">
          <w:rPr>
            <w:rFonts w:ascii="Arial" w:eastAsia="Times New Roman" w:hAnsi="Arial" w:cs="Arial"/>
            <w:color w:val="666699"/>
            <w:sz w:val="24"/>
            <w:szCs w:val="24"/>
            <w:u w:val="single"/>
            <w:lang w:eastAsia="ru-RU"/>
          </w:rPr>
          <w:t>подпунктом 1</w:t>
        </w:r>
      </w:hyperlink>
      <w:r w:rsidRPr="00041EEF">
        <w:rPr>
          <w:rFonts w:ascii="Arial" w:eastAsia="Times New Roman" w:hAnsi="Arial" w:cs="Arial"/>
          <w:color w:val="333333"/>
          <w:sz w:val="24"/>
          <w:szCs w:val="24"/>
          <w:lang w:eastAsia="ru-RU"/>
        </w:rPr>
        <w:t> настоящего пункта.</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5102"/>
      <w:bookmarkEnd w:id="14"/>
      <w:r w:rsidRPr="00041EEF">
        <w:rPr>
          <w:rFonts w:ascii="Arial" w:eastAsia="Times New Roman" w:hAnsi="Arial" w:cs="Arial"/>
          <w:color w:val="333333"/>
          <w:sz w:val="24"/>
          <w:szCs w:val="24"/>
          <w:lang w:eastAsia="ru-RU"/>
        </w:rPr>
        <w:t>7. Налогоплательщик, использовавший право на применение инвестиционного налогового вычета в отношении объекта основных средств, не вправе в отношении этого объекта применять положения </w:t>
      </w:r>
      <w:hyperlink r:id="rId21" w:anchor="dst4299" w:history="1">
        <w:r w:rsidRPr="00041EEF">
          <w:rPr>
            <w:rFonts w:ascii="Arial" w:eastAsia="Times New Roman" w:hAnsi="Arial" w:cs="Arial"/>
            <w:color w:val="666699"/>
            <w:sz w:val="24"/>
            <w:szCs w:val="24"/>
            <w:u w:val="single"/>
            <w:lang w:eastAsia="ru-RU"/>
          </w:rPr>
          <w:t>пункта 9 статьи 258</w:t>
        </w:r>
      </w:hyperlink>
      <w:r w:rsidRPr="00041EEF">
        <w:rPr>
          <w:rFonts w:ascii="Arial" w:eastAsia="Times New Roman" w:hAnsi="Arial" w:cs="Arial"/>
          <w:color w:val="333333"/>
          <w:sz w:val="24"/>
          <w:szCs w:val="24"/>
          <w:lang w:eastAsia="ru-RU"/>
        </w:rPr>
        <w:t> настоящего Кодекса.</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5103"/>
      <w:bookmarkEnd w:id="15"/>
      <w:r w:rsidRPr="00041EEF">
        <w:rPr>
          <w:rFonts w:ascii="Arial" w:eastAsia="Times New Roman" w:hAnsi="Arial" w:cs="Arial"/>
          <w:color w:val="333333"/>
          <w:sz w:val="24"/>
          <w:szCs w:val="24"/>
          <w:lang w:eastAsia="ru-RU"/>
        </w:rPr>
        <w:t>Объекты основных сре</w:t>
      </w:r>
      <w:proofErr w:type="gramStart"/>
      <w:r w:rsidRPr="00041EEF">
        <w:rPr>
          <w:rFonts w:ascii="Arial" w:eastAsia="Times New Roman" w:hAnsi="Arial" w:cs="Arial"/>
          <w:color w:val="333333"/>
          <w:sz w:val="24"/>
          <w:szCs w:val="24"/>
          <w:lang w:eastAsia="ru-RU"/>
        </w:rPr>
        <w:t>дств в ч</w:t>
      </w:r>
      <w:proofErr w:type="gramEnd"/>
      <w:r w:rsidRPr="00041EEF">
        <w:rPr>
          <w:rFonts w:ascii="Arial" w:eastAsia="Times New Roman" w:hAnsi="Arial" w:cs="Arial"/>
          <w:color w:val="333333"/>
          <w:sz w:val="24"/>
          <w:szCs w:val="24"/>
          <w:lang w:eastAsia="ru-RU"/>
        </w:rPr>
        <w:t>асти их первоначальной стоимости, сформированной за счет расходов, понесенных в случаях приобретения, создания, сооружения, достройки, дооборудования, реконструкции, модернизации, технического перевооружения, в отношении которых налогоплательщик использовал право на применение инвестиционного налогового вычета в соответствии с настоящей статьей, не подлежат амортизации.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5104"/>
      <w:bookmarkEnd w:id="16"/>
      <w:r w:rsidRPr="00041EEF">
        <w:rPr>
          <w:rFonts w:ascii="Arial" w:eastAsia="Times New Roman" w:hAnsi="Arial" w:cs="Arial"/>
          <w:color w:val="333333"/>
          <w:sz w:val="24"/>
          <w:szCs w:val="24"/>
          <w:lang w:eastAsia="ru-RU"/>
        </w:rPr>
        <w:t>8. Решение об использовании права на применение инвестиционного налогового вычета применяется налогоплательщиком ко всем объектам основных средств, указанным в </w:t>
      </w:r>
      <w:hyperlink r:id="rId22" w:anchor="dst15095" w:history="1">
        <w:r w:rsidRPr="00041EEF">
          <w:rPr>
            <w:rFonts w:ascii="Arial" w:eastAsia="Times New Roman" w:hAnsi="Arial" w:cs="Arial"/>
            <w:color w:val="666699"/>
            <w:sz w:val="24"/>
            <w:szCs w:val="24"/>
            <w:u w:val="single"/>
            <w:lang w:eastAsia="ru-RU"/>
          </w:rPr>
          <w:t>пункте 4</w:t>
        </w:r>
      </w:hyperlink>
      <w:r w:rsidRPr="00041EEF">
        <w:rPr>
          <w:rFonts w:ascii="Arial" w:eastAsia="Times New Roman" w:hAnsi="Arial" w:cs="Arial"/>
          <w:color w:val="333333"/>
          <w:sz w:val="24"/>
          <w:szCs w:val="24"/>
          <w:lang w:eastAsia="ru-RU"/>
        </w:rPr>
        <w:t> настоящей статьи, и отражается в учетной политике для целей налогообложения.</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5105"/>
      <w:bookmarkEnd w:id="17"/>
      <w:r w:rsidRPr="00041EEF">
        <w:rPr>
          <w:rFonts w:ascii="Arial" w:eastAsia="Times New Roman" w:hAnsi="Arial" w:cs="Arial"/>
          <w:color w:val="333333"/>
          <w:sz w:val="24"/>
          <w:szCs w:val="24"/>
          <w:lang w:eastAsia="ru-RU"/>
        </w:rPr>
        <w:t>Использование (отказ от использования) права на применение инвестиционного налогового вычета допускается с начала очередного налогового периода. При этом налогоплательщик вправе изменить ранее принятое решение об использовании (отказе от использования) права на применение инвестиционного налогового вычета по истечении трех последовательных налоговых периодов применения такого решения, если иной срок не определен решением субъекта Российской Федерации.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5106"/>
      <w:bookmarkEnd w:id="18"/>
      <w:proofErr w:type="gramStart"/>
      <w:r w:rsidRPr="00041EEF">
        <w:rPr>
          <w:rFonts w:ascii="Arial" w:eastAsia="Times New Roman" w:hAnsi="Arial" w:cs="Arial"/>
          <w:color w:val="333333"/>
          <w:sz w:val="24"/>
          <w:szCs w:val="24"/>
          <w:lang w:eastAsia="ru-RU"/>
        </w:rPr>
        <w:t>Решение налогоплательщика об использовании права на применение инвестиционного налогового вычета действует применительно к объектам основных средств, относящимся к организациям или обособленным подразделениям организаций, расположенным на территориях субъектов Российской Федерации, которые предоставили право на применение в отношении таких объектов инвестиционного налогового вычета в соответствии с </w:t>
      </w:r>
      <w:hyperlink r:id="rId23" w:anchor="dst15097" w:history="1">
        <w:r w:rsidRPr="00041EEF">
          <w:rPr>
            <w:rFonts w:ascii="Arial" w:eastAsia="Times New Roman" w:hAnsi="Arial" w:cs="Arial"/>
            <w:color w:val="666699"/>
            <w:sz w:val="24"/>
            <w:szCs w:val="24"/>
            <w:u w:val="single"/>
            <w:lang w:eastAsia="ru-RU"/>
          </w:rPr>
          <w:t>пунктом 6</w:t>
        </w:r>
      </w:hyperlink>
      <w:r w:rsidRPr="00041EEF">
        <w:rPr>
          <w:rFonts w:ascii="Arial" w:eastAsia="Times New Roman" w:hAnsi="Arial" w:cs="Arial"/>
          <w:color w:val="333333"/>
          <w:sz w:val="24"/>
          <w:szCs w:val="24"/>
          <w:lang w:eastAsia="ru-RU"/>
        </w:rPr>
        <w:t> настоящей статьи, в период действия соответствующего закона.</w:t>
      </w:r>
      <w:proofErr w:type="gramEnd"/>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5107"/>
      <w:bookmarkEnd w:id="19"/>
      <w:r w:rsidRPr="00041EEF">
        <w:rPr>
          <w:rFonts w:ascii="Arial" w:eastAsia="Times New Roman" w:hAnsi="Arial" w:cs="Arial"/>
          <w:color w:val="333333"/>
          <w:sz w:val="24"/>
          <w:szCs w:val="24"/>
          <w:lang w:eastAsia="ru-RU"/>
        </w:rPr>
        <w:lastRenderedPageBreak/>
        <w:t>9. Сумма расходов налогоплательщика, указанных в </w:t>
      </w:r>
      <w:hyperlink r:id="rId24" w:anchor="dst15090" w:history="1">
        <w:r w:rsidRPr="00041EEF">
          <w:rPr>
            <w:rFonts w:ascii="Arial" w:eastAsia="Times New Roman" w:hAnsi="Arial" w:cs="Arial"/>
            <w:color w:val="666699"/>
            <w:sz w:val="24"/>
            <w:szCs w:val="24"/>
            <w:u w:val="single"/>
            <w:lang w:eastAsia="ru-RU"/>
          </w:rPr>
          <w:t>абзаце первом пункта 2</w:t>
        </w:r>
      </w:hyperlink>
      <w:r w:rsidRPr="00041EEF">
        <w:rPr>
          <w:rFonts w:ascii="Arial" w:eastAsia="Times New Roman" w:hAnsi="Arial" w:cs="Arial"/>
          <w:color w:val="333333"/>
          <w:sz w:val="24"/>
          <w:szCs w:val="24"/>
          <w:lang w:eastAsia="ru-RU"/>
        </w:rPr>
        <w:t> настоящей статьи,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если иное не предусмотрено законом субъекта Российской Федерации.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5108"/>
      <w:bookmarkEnd w:id="20"/>
      <w:r w:rsidRPr="00041EEF">
        <w:rPr>
          <w:rFonts w:ascii="Arial" w:eastAsia="Times New Roman" w:hAnsi="Arial" w:cs="Arial"/>
          <w:color w:val="333333"/>
          <w:sz w:val="24"/>
          <w:szCs w:val="24"/>
          <w:lang w:eastAsia="ru-RU"/>
        </w:rPr>
        <w:t>10. Сумма налога (авансового платежа), исчисленная в отношении консолидированной группы налогоплательщиков, не подлежит уменьшению на сумму инвестиционного налогового вычета.</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5109"/>
      <w:bookmarkEnd w:id="21"/>
      <w:r w:rsidRPr="00041EEF">
        <w:rPr>
          <w:rFonts w:ascii="Arial" w:eastAsia="Times New Roman" w:hAnsi="Arial" w:cs="Arial"/>
          <w:color w:val="333333"/>
          <w:sz w:val="24"/>
          <w:szCs w:val="24"/>
          <w:lang w:eastAsia="ru-RU"/>
        </w:rPr>
        <w:t>11. Не вправе применять инвестиционный налоговый вычет следующие категории налогоплательщиков:</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5110"/>
      <w:bookmarkEnd w:id="22"/>
      <w:r w:rsidRPr="00041EEF">
        <w:rPr>
          <w:rFonts w:ascii="Arial" w:eastAsia="Times New Roman" w:hAnsi="Arial" w:cs="Arial"/>
          <w:color w:val="333333"/>
          <w:sz w:val="24"/>
          <w:szCs w:val="24"/>
          <w:lang w:eastAsia="ru-RU"/>
        </w:rPr>
        <w:t>1) организации - участники региональных инвестиционных проектов;</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5111"/>
      <w:bookmarkEnd w:id="23"/>
      <w:r w:rsidRPr="00041EEF">
        <w:rPr>
          <w:rFonts w:ascii="Arial" w:eastAsia="Times New Roman" w:hAnsi="Arial" w:cs="Arial"/>
          <w:color w:val="333333"/>
          <w:sz w:val="24"/>
          <w:szCs w:val="24"/>
          <w:lang w:eastAsia="ru-RU"/>
        </w:rPr>
        <w:t>2) организации - резиденты особых экономических зон;</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5112"/>
      <w:bookmarkEnd w:id="24"/>
      <w:r w:rsidRPr="00041EEF">
        <w:rPr>
          <w:rFonts w:ascii="Arial" w:eastAsia="Times New Roman" w:hAnsi="Arial" w:cs="Arial"/>
          <w:color w:val="333333"/>
          <w:sz w:val="24"/>
          <w:szCs w:val="24"/>
          <w:lang w:eastAsia="ru-RU"/>
        </w:rPr>
        <w:t>3) организации - участники Особой экономической зоны в Магаданской области;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5113"/>
      <w:bookmarkEnd w:id="25"/>
      <w:r w:rsidRPr="00041EEF">
        <w:rPr>
          <w:rFonts w:ascii="Arial" w:eastAsia="Times New Roman" w:hAnsi="Arial" w:cs="Arial"/>
          <w:color w:val="333333"/>
          <w:sz w:val="24"/>
          <w:szCs w:val="24"/>
          <w:lang w:eastAsia="ru-RU"/>
        </w:rPr>
        <w:t>4) организации, осуществляющие деятельность, связанную с добычей углеводородного сырья на новом морском месторождении углеводородного сырья;</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5114"/>
      <w:bookmarkEnd w:id="26"/>
      <w:r w:rsidRPr="00041EEF">
        <w:rPr>
          <w:rFonts w:ascii="Arial" w:eastAsia="Times New Roman" w:hAnsi="Arial" w:cs="Arial"/>
          <w:color w:val="333333"/>
          <w:sz w:val="24"/>
          <w:szCs w:val="24"/>
          <w:lang w:eastAsia="ru-RU"/>
        </w:rPr>
        <w:t>5) организации - участники свободной экономической зоны;</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5115"/>
      <w:bookmarkEnd w:id="27"/>
      <w:r w:rsidRPr="00041EEF">
        <w:rPr>
          <w:rFonts w:ascii="Arial" w:eastAsia="Times New Roman" w:hAnsi="Arial" w:cs="Arial"/>
          <w:color w:val="333333"/>
          <w:sz w:val="24"/>
          <w:szCs w:val="24"/>
          <w:lang w:eastAsia="ru-RU"/>
        </w:rPr>
        <w:t>6) организации - резиденты территории опережающего социально-экономического развития либо резиденты свободного порта Владивосток;</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5116"/>
      <w:bookmarkEnd w:id="28"/>
      <w:r w:rsidRPr="00041EEF">
        <w:rPr>
          <w:rFonts w:ascii="Arial" w:eastAsia="Times New Roman" w:hAnsi="Arial" w:cs="Arial"/>
          <w:color w:val="333333"/>
          <w:sz w:val="24"/>
          <w:szCs w:val="24"/>
          <w:lang w:eastAsia="ru-RU"/>
        </w:rPr>
        <w:t>7) организации - участники проекта по осуществлению исследований, разработок и коммерциализации их результатов в соответствии с Федеральным </w:t>
      </w:r>
      <w:hyperlink r:id="rId25" w:anchor="dst0" w:history="1">
        <w:r w:rsidRPr="00041EEF">
          <w:rPr>
            <w:rFonts w:ascii="Arial" w:eastAsia="Times New Roman" w:hAnsi="Arial" w:cs="Arial"/>
            <w:color w:val="666699"/>
            <w:sz w:val="24"/>
            <w:szCs w:val="24"/>
            <w:u w:val="single"/>
            <w:lang w:eastAsia="ru-RU"/>
          </w:rPr>
          <w:t>законом</w:t>
        </w:r>
      </w:hyperlink>
      <w:r w:rsidRPr="00041EEF">
        <w:rPr>
          <w:rFonts w:ascii="Arial" w:eastAsia="Times New Roman" w:hAnsi="Arial" w:cs="Arial"/>
          <w:color w:val="333333"/>
          <w:sz w:val="24"/>
          <w:szCs w:val="24"/>
          <w:lang w:eastAsia="ru-RU"/>
        </w:rPr>
        <w:t> "Об инновационном центре "</w:t>
      </w:r>
      <w:proofErr w:type="spellStart"/>
      <w:r w:rsidRPr="00041EEF">
        <w:rPr>
          <w:rFonts w:ascii="Arial" w:eastAsia="Times New Roman" w:hAnsi="Arial" w:cs="Arial"/>
          <w:color w:val="333333"/>
          <w:sz w:val="24"/>
          <w:szCs w:val="24"/>
          <w:lang w:eastAsia="ru-RU"/>
        </w:rPr>
        <w:t>Сколково</w:t>
      </w:r>
      <w:proofErr w:type="spellEnd"/>
      <w:r w:rsidRPr="00041EEF">
        <w:rPr>
          <w:rFonts w:ascii="Arial" w:eastAsia="Times New Roman" w:hAnsi="Arial" w:cs="Arial"/>
          <w:color w:val="333333"/>
          <w:sz w:val="24"/>
          <w:szCs w:val="24"/>
          <w:lang w:eastAsia="ru-RU"/>
        </w:rPr>
        <w:t>";</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5117"/>
      <w:bookmarkEnd w:id="29"/>
      <w:r w:rsidRPr="00041EEF">
        <w:rPr>
          <w:rFonts w:ascii="Arial" w:eastAsia="Times New Roman" w:hAnsi="Arial" w:cs="Arial"/>
          <w:color w:val="333333"/>
          <w:sz w:val="24"/>
          <w:szCs w:val="24"/>
          <w:lang w:eastAsia="ru-RU"/>
        </w:rPr>
        <w:t>8) иностранные организации, признаваемые налоговыми резидентами Российской Федерации.</w:t>
      </w:r>
    </w:p>
    <w:p w:rsidR="00041EEF" w:rsidRPr="00041EEF" w:rsidRDefault="00041EEF" w:rsidP="00041EE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5118"/>
      <w:bookmarkEnd w:id="30"/>
      <w:r w:rsidRPr="00041EEF">
        <w:rPr>
          <w:rFonts w:ascii="Arial" w:eastAsia="Times New Roman" w:hAnsi="Arial" w:cs="Arial"/>
          <w:color w:val="333333"/>
          <w:sz w:val="24"/>
          <w:szCs w:val="24"/>
          <w:lang w:eastAsia="ru-RU"/>
        </w:rPr>
        <w:t xml:space="preserve">12. </w:t>
      </w:r>
      <w:proofErr w:type="gramStart"/>
      <w:r w:rsidRPr="00041EEF">
        <w:rPr>
          <w:rFonts w:ascii="Arial" w:eastAsia="Times New Roman" w:hAnsi="Arial" w:cs="Arial"/>
          <w:color w:val="333333"/>
          <w:sz w:val="24"/>
          <w:szCs w:val="24"/>
          <w:lang w:eastAsia="ru-RU"/>
        </w:rPr>
        <w:t>При реализации или ином выбытии объекта основных средств (за исключением ликвидации), в отношении которого налогоплательщик использовал право на применение инвестиционного налогового вычета в соответствии с настоящей статьей, до истечения срока его полезного использования сумма налога, не уплаченная в связи с применением такого вычета в отношении этого объекта основных средств, подлежит восстановлению и уплате в бюджет с уплатой соответствующих сумм пеней</w:t>
      </w:r>
      <w:proofErr w:type="gramEnd"/>
      <w:r w:rsidRPr="00041EEF">
        <w:rPr>
          <w:rFonts w:ascii="Arial" w:eastAsia="Times New Roman" w:hAnsi="Arial" w:cs="Arial"/>
          <w:color w:val="333333"/>
          <w:sz w:val="24"/>
          <w:szCs w:val="24"/>
          <w:lang w:eastAsia="ru-RU"/>
        </w:rPr>
        <w:t xml:space="preserve">, </w:t>
      </w:r>
      <w:proofErr w:type="gramStart"/>
      <w:r w:rsidRPr="00041EEF">
        <w:rPr>
          <w:rFonts w:ascii="Arial" w:eastAsia="Times New Roman" w:hAnsi="Arial" w:cs="Arial"/>
          <w:color w:val="333333"/>
          <w:sz w:val="24"/>
          <w:szCs w:val="24"/>
          <w:lang w:eastAsia="ru-RU"/>
        </w:rPr>
        <w:t>начисляемых</w:t>
      </w:r>
      <w:proofErr w:type="gramEnd"/>
      <w:r w:rsidRPr="00041EEF">
        <w:rPr>
          <w:rFonts w:ascii="Arial" w:eastAsia="Times New Roman" w:hAnsi="Arial" w:cs="Arial"/>
          <w:color w:val="333333"/>
          <w:sz w:val="24"/>
          <w:szCs w:val="24"/>
          <w:lang w:eastAsia="ru-RU"/>
        </w:rPr>
        <w:t xml:space="preserve"> со дня, следующего за установленным </w:t>
      </w:r>
      <w:hyperlink r:id="rId26" w:anchor="dst102693" w:history="1">
        <w:r w:rsidRPr="00041EEF">
          <w:rPr>
            <w:rFonts w:ascii="Arial" w:eastAsia="Times New Roman" w:hAnsi="Arial" w:cs="Arial"/>
            <w:color w:val="666699"/>
            <w:sz w:val="24"/>
            <w:szCs w:val="24"/>
            <w:u w:val="single"/>
            <w:lang w:eastAsia="ru-RU"/>
          </w:rPr>
          <w:t>статьей 287</w:t>
        </w:r>
      </w:hyperlink>
      <w:r w:rsidRPr="00041EEF">
        <w:rPr>
          <w:rFonts w:ascii="Arial" w:eastAsia="Times New Roman" w:hAnsi="Arial" w:cs="Arial"/>
          <w:color w:val="333333"/>
          <w:sz w:val="24"/>
          <w:szCs w:val="24"/>
          <w:lang w:eastAsia="ru-RU"/>
        </w:rPr>
        <w:t>настоящего Кодекса днем уплаты налога.</w:t>
      </w:r>
    </w:p>
    <w:p w:rsidR="00F74383" w:rsidRDefault="00F74383"/>
    <w:sectPr w:rsidR="00F74383" w:rsidSect="00F74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EEF"/>
    <w:rsid w:val="00041EEF"/>
    <w:rsid w:val="00F7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83"/>
  </w:style>
  <w:style w:type="paragraph" w:styleId="1">
    <w:name w:val="heading 1"/>
    <w:basedOn w:val="a"/>
    <w:link w:val="10"/>
    <w:uiPriority w:val="9"/>
    <w:qFormat/>
    <w:rsid w:val="00041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EEF"/>
    <w:rPr>
      <w:rFonts w:ascii="Times New Roman" w:eastAsia="Times New Roman" w:hAnsi="Times New Roman" w:cs="Times New Roman"/>
      <w:b/>
      <w:bCs/>
      <w:kern w:val="36"/>
      <w:sz w:val="48"/>
      <w:szCs w:val="48"/>
      <w:lang w:eastAsia="ru-RU"/>
    </w:rPr>
  </w:style>
  <w:style w:type="character" w:customStyle="1" w:styleId="blk">
    <w:name w:val="blk"/>
    <w:basedOn w:val="a0"/>
    <w:rsid w:val="00041EEF"/>
  </w:style>
  <w:style w:type="character" w:styleId="a3">
    <w:name w:val="Hyperlink"/>
    <w:basedOn w:val="a0"/>
    <w:uiPriority w:val="99"/>
    <w:semiHidden/>
    <w:unhideWhenUsed/>
    <w:rsid w:val="00041EEF"/>
    <w:rPr>
      <w:color w:val="0000FF"/>
      <w:u w:val="single"/>
    </w:rPr>
  </w:style>
  <w:style w:type="character" w:customStyle="1" w:styleId="hl">
    <w:name w:val="hl"/>
    <w:basedOn w:val="a0"/>
    <w:rsid w:val="00041EEF"/>
  </w:style>
  <w:style w:type="character" w:customStyle="1" w:styleId="nobr">
    <w:name w:val="nobr"/>
    <w:basedOn w:val="a0"/>
    <w:rsid w:val="00041EEF"/>
  </w:style>
</w:styles>
</file>

<file path=word/webSettings.xml><?xml version="1.0" encoding="utf-8"?>
<w:webSettings xmlns:r="http://schemas.openxmlformats.org/officeDocument/2006/relationships" xmlns:w="http://schemas.openxmlformats.org/wordprocessingml/2006/main">
  <w:divs>
    <w:div w:id="519202389">
      <w:bodyDiv w:val="1"/>
      <w:marLeft w:val="0"/>
      <w:marRight w:val="0"/>
      <w:marTop w:val="0"/>
      <w:marBottom w:val="0"/>
      <w:divBdr>
        <w:top w:val="none" w:sz="0" w:space="0" w:color="auto"/>
        <w:left w:val="none" w:sz="0" w:space="0" w:color="auto"/>
        <w:bottom w:val="none" w:sz="0" w:space="0" w:color="auto"/>
        <w:right w:val="none" w:sz="0" w:space="0" w:color="auto"/>
      </w:divBdr>
      <w:divsChild>
        <w:div w:id="1424256472">
          <w:marLeft w:val="0"/>
          <w:marRight w:val="0"/>
          <w:marTop w:val="120"/>
          <w:marBottom w:val="96"/>
          <w:divBdr>
            <w:top w:val="none" w:sz="0" w:space="0" w:color="auto"/>
            <w:left w:val="single" w:sz="24" w:space="0" w:color="CED3F1"/>
            <w:bottom w:val="none" w:sz="0" w:space="0" w:color="auto"/>
            <w:right w:val="none" w:sz="0" w:space="0" w:color="auto"/>
          </w:divBdr>
        </w:div>
        <w:div w:id="331837159">
          <w:marLeft w:val="0"/>
          <w:marRight w:val="0"/>
          <w:marTop w:val="120"/>
          <w:marBottom w:val="0"/>
          <w:divBdr>
            <w:top w:val="none" w:sz="0" w:space="0" w:color="auto"/>
            <w:left w:val="none" w:sz="0" w:space="0" w:color="auto"/>
            <w:bottom w:val="none" w:sz="0" w:space="0" w:color="auto"/>
            <w:right w:val="none" w:sz="0" w:space="0" w:color="auto"/>
          </w:divBdr>
        </w:div>
        <w:div w:id="883062880">
          <w:marLeft w:val="0"/>
          <w:marRight w:val="0"/>
          <w:marTop w:val="120"/>
          <w:marBottom w:val="0"/>
          <w:divBdr>
            <w:top w:val="none" w:sz="0" w:space="0" w:color="auto"/>
            <w:left w:val="none" w:sz="0" w:space="0" w:color="auto"/>
            <w:bottom w:val="none" w:sz="0" w:space="0" w:color="auto"/>
            <w:right w:val="none" w:sz="0" w:space="0" w:color="auto"/>
          </w:divBdr>
        </w:div>
        <w:div w:id="544415553">
          <w:marLeft w:val="0"/>
          <w:marRight w:val="0"/>
          <w:marTop w:val="120"/>
          <w:marBottom w:val="0"/>
          <w:divBdr>
            <w:top w:val="none" w:sz="0" w:space="0" w:color="auto"/>
            <w:left w:val="none" w:sz="0" w:space="0" w:color="auto"/>
            <w:bottom w:val="none" w:sz="0" w:space="0" w:color="auto"/>
            <w:right w:val="none" w:sz="0" w:space="0" w:color="auto"/>
          </w:divBdr>
        </w:div>
        <w:div w:id="520902131">
          <w:marLeft w:val="0"/>
          <w:marRight w:val="0"/>
          <w:marTop w:val="120"/>
          <w:marBottom w:val="0"/>
          <w:divBdr>
            <w:top w:val="none" w:sz="0" w:space="0" w:color="auto"/>
            <w:left w:val="none" w:sz="0" w:space="0" w:color="auto"/>
            <w:bottom w:val="none" w:sz="0" w:space="0" w:color="auto"/>
            <w:right w:val="none" w:sz="0" w:space="0" w:color="auto"/>
          </w:divBdr>
        </w:div>
        <w:div w:id="2081634103">
          <w:marLeft w:val="0"/>
          <w:marRight w:val="0"/>
          <w:marTop w:val="120"/>
          <w:marBottom w:val="0"/>
          <w:divBdr>
            <w:top w:val="none" w:sz="0" w:space="0" w:color="auto"/>
            <w:left w:val="none" w:sz="0" w:space="0" w:color="auto"/>
            <w:bottom w:val="none" w:sz="0" w:space="0" w:color="auto"/>
            <w:right w:val="none" w:sz="0" w:space="0" w:color="auto"/>
          </w:divBdr>
        </w:div>
        <w:div w:id="1336221980">
          <w:marLeft w:val="0"/>
          <w:marRight w:val="0"/>
          <w:marTop w:val="120"/>
          <w:marBottom w:val="0"/>
          <w:divBdr>
            <w:top w:val="none" w:sz="0" w:space="0" w:color="auto"/>
            <w:left w:val="none" w:sz="0" w:space="0" w:color="auto"/>
            <w:bottom w:val="none" w:sz="0" w:space="0" w:color="auto"/>
            <w:right w:val="none" w:sz="0" w:space="0" w:color="auto"/>
          </w:divBdr>
        </w:div>
        <w:div w:id="1100763474">
          <w:marLeft w:val="0"/>
          <w:marRight w:val="0"/>
          <w:marTop w:val="120"/>
          <w:marBottom w:val="0"/>
          <w:divBdr>
            <w:top w:val="none" w:sz="0" w:space="0" w:color="auto"/>
            <w:left w:val="none" w:sz="0" w:space="0" w:color="auto"/>
            <w:bottom w:val="none" w:sz="0" w:space="0" w:color="auto"/>
            <w:right w:val="none" w:sz="0" w:space="0" w:color="auto"/>
          </w:divBdr>
        </w:div>
        <w:div w:id="1138911703">
          <w:marLeft w:val="0"/>
          <w:marRight w:val="0"/>
          <w:marTop w:val="120"/>
          <w:marBottom w:val="0"/>
          <w:divBdr>
            <w:top w:val="none" w:sz="0" w:space="0" w:color="auto"/>
            <w:left w:val="none" w:sz="0" w:space="0" w:color="auto"/>
            <w:bottom w:val="none" w:sz="0" w:space="0" w:color="auto"/>
            <w:right w:val="none" w:sz="0" w:space="0" w:color="auto"/>
          </w:divBdr>
        </w:div>
        <w:div w:id="1976181404">
          <w:marLeft w:val="0"/>
          <w:marRight w:val="0"/>
          <w:marTop w:val="120"/>
          <w:marBottom w:val="0"/>
          <w:divBdr>
            <w:top w:val="none" w:sz="0" w:space="0" w:color="auto"/>
            <w:left w:val="none" w:sz="0" w:space="0" w:color="auto"/>
            <w:bottom w:val="none" w:sz="0" w:space="0" w:color="auto"/>
            <w:right w:val="none" w:sz="0" w:space="0" w:color="auto"/>
          </w:divBdr>
        </w:div>
        <w:div w:id="1363289065">
          <w:marLeft w:val="0"/>
          <w:marRight w:val="0"/>
          <w:marTop w:val="120"/>
          <w:marBottom w:val="0"/>
          <w:divBdr>
            <w:top w:val="none" w:sz="0" w:space="0" w:color="auto"/>
            <w:left w:val="none" w:sz="0" w:space="0" w:color="auto"/>
            <w:bottom w:val="none" w:sz="0" w:space="0" w:color="auto"/>
            <w:right w:val="none" w:sz="0" w:space="0" w:color="auto"/>
          </w:divBdr>
        </w:div>
        <w:div w:id="961157345">
          <w:marLeft w:val="0"/>
          <w:marRight w:val="0"/>
          <w:marTop w:val="120"/>
          <w:marBottom w:val="0"/>
          <w:divBdr>
            <w:top w:val="none" w:sz="0" w:space="0" w:color="auto"/>
            <w:left w:val="none" w:sz="0" w:space="0" w:color="auto"/>
            <w:bottom w:val="none" w:sz="0" w:space="0" w:color="auto"/>
            <w:right w:val="none" w:sz="0" w:space="0" w:color="auto"/>
          </w:divBdr>
        </w:div>
        <w:div w:id="299195757">
          <w:marLeft w:val="0"/>
          <w:marRight w:val="0"/>
          <w:marTop w:val="120"/>
          <w:marBottom w:val="0"/>
          <w:divBdr>
            <w:top w:val="none" w:sz="0" w:space="0" w:color="auto"/>
            <w:left w:val="none" w:sz="0" w:space="0" w:color="auto"/>
            <w:bottom w:val="none" w:sz="0" w:space="0" w:color="auto"/>
            <w:right w:val="none" w:sz="0" w:space="0" w:color="auto"/>
          </w:divBdr>
        </w:div>
        <w:div w:id="1130515655">
          <w:marLeft w:val="0"/>
          <w:marRight w:val="0"/>
          <w:marTop w:val="120"/>
          <w:marBottom w:val="0"/>
          <w:divBdr>
            <w:top w:val="none" w:sz="0" w:space="0" w:color="auto"/>
            <w:left w:val="none" w:sz="0" w:space="0" w:color="auto"/>
            <w:bottom w:val="none" w:sz="0" w:space="0" w:color="auto"/>
            <w:right w:val="none" w:sz="0" w:space="0" w:color="auto"/>
          </w:divBdr>
        </w:div>
        <w:div w:id="2138335943">
          <w:marLeft w:val="0"/>
          <w:marRight w:val="0"/>
          <w:marTop w:val="120"/>
          <w:marBottom w:val="0"/>
          <w:divBdr>
            <w:top w:val="none" w:sz="0" w:space="0" w:color="auto"/>
            <w:left w:val="none" w:sz="0" w:space="0" w:color="auto"/>
            <w:bottom w:val="none" w:sz="0" w:space="0" w:color="auto"/>
            <w:right w:val="none" w:sz="0" w:space="0" w:color="auto"/>
          </w:divBdr>
        </w:div>
        <w:div w:id="27723955">
          <w:marLeft w:val="0"/>
          <w:marRight w:val="0"/>
          <w:marTop w:val="120"/>
          <w:marBottom w:val="0"/>
          <w:divBdr>
            <w:top w:val="none" w:sz="0" w:space="0" w:color="auto"/>
            <w:left w:val="none" w:sz="0" w:space="0" w:color="auto"/>
            <w:bottom w:val="none" w:sz="0" w:space="0" w:color="auto"/>
            <w:right w:val="none" w:sz="0" w:space="0" w:color="auto"/>
          </w:divBdr>
        </w:div>
        <w:div w:id="1395272958">
          <w:marLeft w:val="0"/>
          <w:marRight w:val="0"/>
          <w:marTop w:val="120"/>
          <w:marBottom w:val="0"/>
          <w:divBdr>
            <w:top w:val="none" w:sz="0" w:space="0" w:color="auto"/>
            <w:left w:val="none" w:sz="0" w:space="0" w:color="auto"/>
            <w:bottom w:val="none" w:sz="0" w:space="0" w:color="auto"/>
            <w:right w:val="none" w:sz="0" w:space="0" w:color="auto"/>
          </w:divBdr>
        </w:div>
        <w:div w:id="305672885">
          <w:marLeft w:val="0"/>
          <w:marRight w:val="0"/>
          <w:marTop w:val="120"/>
          <w:marBottom w:val="0"/>
          <w:divBdr>
            <w:top w:val="none" w:sz="0" w:space="0" w:color="auto"/>
            <w:left w:val="none" w:sz="0" w:space="0" w:color="auto"/>
            <w:bottom w:val="none" w:sz="0" w:space="0" w:color="auto"/>
            <w:right w:val="none" w:sz="0" w:space="0" w:color="auto"/>
          </w:divBdr>
        </w:div>
        <w:div w:id="1808234835">
          <w:marLeft w:val="0"/>
          <w:marRight w:val="0"/>
          <w:marTop w:val="120"/>
          <w:marBottom w:val="0"/>
          <w:divBdr>
            <w:top w:val="none" w:sz="0" w:space="0" w:color="auto"/>
            <w:left w:val="none" w:sz="0" w:space="0" w:color="auto"/>
            <w:bottom w:val="none" w:sz="0" w:space="0" w:color="auto"/>
            <w:right w:val="none" w:sz="0" w:space="0" w:color="auto"/>
          </w:divBdr>
        </w:div>
        <w:div w:id="204492386">
          <w:marLeft w:val="0"/>
          <w:marRight w:val="0"/>
          <w:marTop w:val="120"/>
          <w:marBottom w:val="0"/>
          <w:divBdr>
            <w:top w:val="none" w:sz="0" w:space="0" w:color="auto"/>
            <w:left w:val="none" w:sz="0" w:space="0" w:color="auto"/>
            <w:bottom w:val="none" w:sz="0" w:space="0" w:color="auto"/>
            <w:right w:val="none" w:sz="0" w:space="0" w:color="auto"/>
          </w:divBdr>
        </w:div>
        <w:div w:id="422071813">
          <w:marLeft w:val="0"/>
          <w:marRight w:val="0"/>
          <w:marTop w:val="120"/>
          <w:marBottom w:val="0"/>
          <w:divBdr>
            <w:top w:val="none" w:sz="0" w:space="0" w:color="auto"/>
            <w:left w:val="none" w:sz="0" w:space="0" w:color="auto"/>
            <w:bottom w:val="none" w:sz="0" w:space="0" w:color="auto"/>
            <w:right w:val="none" w:sz="0" w:space="0" w:color="auto"/>
          </w:divBdr>
        </w:div>
        <w:div w:id="664434071">
          <w:marLeft w:val="0"/>
          <w:marRight w:val="0"/>
          <w:marTop w:val="120"/>
          <w:marBottom w:val="0"/>
          <w:divBdr>
            <w:top w:val="none" w:sz="0" w:space="0" w:color="auto"/>
            <w:left w:val="none" w:sz="0" w:space="0" w:color="auto"/>
            <w:bottom w:val="none" w:sz="0" w:space="0" w:color="auto"/>
            <w:right w:val="none" w:sz="0" w:space="0" w:color="auto"/>
          </w:divBdr>
        </w:div>
        <w:div w:id="1380401471">
          <w:marLeft w:val="0"/>
          <w:marRight w:val="0"/>
          <w:marTop w:val="120"/>
          <w:marBottom w:val="0"/>
          <w:divBdr>
            <w:top w:val="none" w:sz="0" w:space="0" w:color="auto"/>
            <w:left w:val="none" w:sz="0" w:space="0" w:color="auto"/>
            <w:bottom w:val="none" w:sz="0" w:space="0" w:color="auto"/>
            <w:right w:val="none" w:sz="0" w:space="0" w:color="auto"/>
          </w:divBdr>
        </w:div>
        <w:div w:id="706028999">
          <w:marLeft w:val="0"/>
          <w:marRight w:val="0"/>
          <w:marTop w:val="120"/>
          <w:marBottom w:val="0"/>
          <w:divBdr>
            <w:top w:val="none" w:sz="0" w:space="0" w:color="auto"/>
            <w:left w:val="none" w:sz="0" w:space="0" w:color="auto"/>
            <w:bottom w:val="none" w:sz="0" w:space="0" w:color="auto"/>
            <w:right w:val="none" w:sz="0" w:space="0" w:color="auto"/>
          </w:divBdr>
        </w:div>
        <w:div w:id="1545560529">
          <w:marLeft w:val="0"/>
          <w:marRight w:val="0"/>
          <w:marTop w:val="120"/>
          <w:marBottom w:val="0"/>
          <w:divBdr>
            <w:top w:val="none" w:sz="0" w:space="0" w:color="auto"/>
            <w:left w:val="none" w:sz="0" w:space="0" w:color="auto"/>
            <w:bottom w:val="none" w:sz="0" w:space="0" w:color="auto"/>
            <w:right w:val="none" w:sz="0" w:space="0" w:color="auto"/>
          </w:divBdr>
        </w:div>
        <w:div w:id="1136680444">
          <w:marLeft w:val="0"/>
          <w:marRight w:val="0"/>
          <w:marTop w:val="120"/>
          <w:marBottom w:val="0"/>
          <w:divBdr>
            <w:top w:val="none" w:sz="0" w:space="0" w:color="auto"/>
            <w:left w:val="none" w:sz="0" w:space="0" w:color="auto"/>
            <w:bottom w:val="none" w:sz="0" w:space="0" w:color="auto"/>
            <w:right w:val="none" w:sz="0" w:space="0" w:color="auto"/>
          </w:divBdr>
        </w:div>
        <w:div w:id="601836906">
          <w:marLeft w:val="0"/>
          <w:marRight w:val="0"/>
          <w:marTop w:val="120"/>
          <w:marBottom w:val="0"/>
          <w:divBdr>
            <w:top w:val="none" w:sz="0" w:space="0" w:color="auto"/>
            <w:left w:val="none" w:sz="0" w:space="0" w:color="auto"/>
            <w:bottom w:val="none" w:sz="0" w:space="0" w:color="auto"/>
            <w:right w:val="none" w:sz="0" w:space="0" w:color="auto"/>
          </w:divBdr>
        </w:div>
        <w:div w:id="67895647">
          <w:marLeft w:val="0"/>
          <w:marRight w:val="0"/>
          <w:marTop w:val="120"/>
          <w:marBottom w:val="0"/>
          <w:divBdr>
            <w:top w:val="none" w:sz="0" w:space="0" w:color="auto"/>
            <w:left w:val="none" w:sz="0" w:space="0" w:color="auto"/>
            <w:bottom w:val="none" w:sz="0" w:space="0" w:color="auto"/>
            <w:right w:val="none" w:sz="0" w:space="0" w:color="auto"/>
          </w:divBdr>
        </w:div>
        <w:div w:id="668290249">
          <w:marLeft w:val="0"/>
          <w:marRight w:val="0"/>
          <w:marTop w:val="120"/>
          <w:marBottom w:val="0"/>
          <w:divBdr>
            <w:top w:val="none" w:sz="0" w:space="0" w:color="auto"/>
            <w:left w:val="none" w:sz="0" w:space="0" w:color="auto"/>
            <w:bottom w:val="none" w:sz="0" w:space="0" w:color="auto"/>
            <w:right w:val="none" w:sz="0" w:space="0" w:color="auto"/>
          </w:divBdr>
        </w:div>
        <w:div w:id="1299727700">
          <w:marLeft w:val="0"/>
          <w:marRight w:val="0"/>
          <w:marTop w:val="120"/>
          <w:marBottom w:val="0"/>
          <w:divBdr>
            <w:top w:val="none" w:sz="0" w:space="0" w:color="auto"/>
            <w:left w:val="none" w:sz="0" w:space="0" w:color="auto"/>
            <w:bottom w:val="none" w:sz="0" w:space="0" w:color="auto"/>
            <w:right w:val="none" w:sz="0" w:space="0" w:color="auto"/>
          </w:divBdr>
        </w:div>
        <w:div w:id="1294822296">
          <w:marLeft w:val="0"/>
          <w:marRight w:val="0"/>
          <w:marTop w:val="120"/>
          <w:marBottom w:val="0"/>
          <w:divBdr>
            <w:top w:val="none" w:sz="0" w:space="0" w:color="auto"/>
            <w:left w:val="none" w:sz="0" w:space="0" w:color="auto"/>
            <w:bottom w:val="none" w:sz="0" w:space="0" w:color="auto"/>
            <w:right w:val="none" w:sz="0" w:space="0" w:color="auto"/>
          </w:divBdr>
        </w:div>
        <w:div w:id="1530027514">
          <w:marLeft w:val="0"/>
          <w:marRight w:val="0"/>
          <w:marTop w:val="120"/>
          <w:marBottom w:val="0"/>
          <w:divBdr>
            <w:top w:val="none" w:sz="0" w:space="0" w:color="auto"/>
            <w:left w:val="none" w:sz="0" w:space="0" w:color="auto"/>
            <w:bottom w:val="none" w:sz="0" w:space="0" w:color="auto"/>
            <w:right w:val="none" w:sz="0" w:space="0" w:color="auto"/>
          </w:divBdr>
        </w:div>
        <w:div w:id="1854951344">
          <w:marLeft w:val="0"/>
          <w:marRight w:val="0"/>
          <w:marTop w:val="120"/>
          <w:marBottom w:val="0"/>
          <w:divBdr>
            <w:top w:val="none" w:sz="0" w:space="0" w:color="auto"/>
            <w:left w:val="none" w:sz="0" w:space="0" w:color="auto"/>
            <w:bottom w:val="none" w:sz="0" w:space="0" w:color="auto"/>
            <w:right w:val="none" w:sz="0" w:space="0" w:color="auto"/>
          </w:divBdr>
        </w:div>
        <w:div w:id="6694076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695/eb9180fc785448d58fe76ef323fb67d1832b9363/" TargetMode="External"/><Relationship Id="rId13" Type="http://schemas.openxmlformats.org/officeDocument/2006/relationships/hyperlink" Target="http://www.consultant.ru/document/cons_doc_LAW_296695/cf1a9426ba878faee9824672bca283c1420a2b1e/" TargetMode="External"/><Relationship Id="rId18" Type="http://schemas.openxmlformats.org/officeDocument/2006/relationships/hyperlink" Target="http://www.consultant.ru/document/cons_doc_LAW_296695/7260ba686ad1fa7b436a67a764ee41663d78d2cb/" TargetMode="External"/><Relationship Id="rId26" Type="http://schemas.openxmlformats.org/officeDocument/2006/relationships/hyperlink" Target="http://www.consultant.ru/document/cons_doc_LAW_296695/17f089448303baae2053c544b5f1423572c91bda/" TargetMode="External"/><Relationship Id="rId3" Type="http://schemas.openxmlformats.org/officeDocument/2006/relationships/webSettings" Target="webSettings.xml"/><Relationship Id="rId21" Type="http://schemas.openxmlformats.org/officeDocument/2006/relationships/hyperlink" Target="http://www.consultant.ru/document/cons_doc_LAW_296695/92b60a20c6a0b9a44d8dcc235f3a47d5e2442526/" TargetMode="External"/><Relationship Id="rId7" Type="http://schemas.openxmlformats.org/officeDocument/2006/relationships/hyperlink" Target="http://www.consultant.ru/document/cons_doc_LAW_296695/a6611e1b318d2a6ef1c541ed45e61a6e0f5d67a9/" TargetMode="External"/><Relationship Id="rId12" Type="http://schemas.openxmlformats.org/officeDocument/2006/relationships/hyperlink" Target="http://www.consultant.ru/document/cons_doc_LAW_296695/cf1a9426ba878faee9824672bca283c1420a2b1e/" TargetMode="External"/><Relationship Id="rId17" Type="http://schemas.openxmlformats.org/officeDocument/2006/relationships/hyperlink" Target="http://www.consultant.ru/document/cons_doc_LAW_296695/7260ba686ad1fa7b436a67a764ee41663d78d2cb/" TargetMode="External"/><Relationship Id="rId25" Type="http://schemas.openxmlformats.org/officeDocument/2006/relationships/hyperlink" Target="http://www.consultant.ru/document/cons_doc_LAW_286898/" TargetMode="External"/><Relationship Id="rId2" Type="http://schemas.openxmlformats.org/officeDocument/2006/relationships/settings" Target="settings.xml"/><Relationship Id="rId16" Type="http://schemas.openxmlformats.org/officeDocument/2006/relationships/hyperlink" Target="http://www.consultant.ru/document/cons_doc_LAW_296695/7260ba686ad1fa7b436a67a764ee41663d78d2cb/" TargetMode="External"/><Relationship Id="rId20" Type="http://schemas.openxmlformats.org/officeDocument/2006/relationships/hyperlink" Target="http://www.consultant.ru/document/cons_doc_LAW_296695/7260ba686ad1fa7b436a67a764ee41663d78d2cb/" TargetMode="External"/><Relationship Id="rId1" Type="http://schemas.openxmlformats.org/officeDocument/2006/relationships/styles" Target="styles.xml"/><Relationship Id="rId6" Type="http://schemas.openxmlformats.org/officeDocument/2006/relationships/hyperlink" Target="http://www.consultant.ru/document/cons_doc_LAW_296695/a254131f0c25f73b3fe90012f964e0c3dcb39938/" TargetMode="External"/><Relationship Id="rId11" Type="http://schemas.openxmlformats.org/officeDocument/2006/relationships/hyperlink" Target="http://www.consultant.ru/document/cons_doc_LAW_296695/7260ba686ad1fa7b436a67a764ee41663d78d2cb/" TargetMode="External"/><Relationship Id="rId24" Type="http://schemas.openxmlformats.org/officeDocument/2006/relationships/hyperlink" Target="http://www.consultant.ru/document/cons_doc_LAW_296695/7260ba686ad1fa7b436a67a764ee41663d78d2cb/" TargetMode="External"/><Relationship Id="rId5" Type="http://schemas.openxmlformats.org/officeDocument/2006/relationships/hyperlink" Target="http://www.consultant.ru/document/cons_doc_LAW_286552/b004fed0b70d0f223e4a81f8ad6cd92af90a7e3b/" TargetMode="External"/><Relationship Id="rId15" Type="http://schemas.openxmlformats.org/officeDocument/2006/relationships/hyperlink" Target="http://www.consultant.ru/document/cons_doc_LAW_296695/7260ba686ad1fa7b436a67a764ee41663d78d2cb/" TargetMode="External"/><Relationship Id="rId23" Type="http://schemas.openxmlformats.org/officeDocument/2006/relationships/hyperlink" Target="http://www.consultant.ru/document/cons_doc_LAW_296695/7260ba686ad1fa7b436a67a764ee41663d78d2cb/" TargetMode="External"/><Relationship Id="rId28" Type="http://schemas.openxmlformats.org/officeDocument/2006/relationships/theme" Target="theme/theme1.xml"/><Relationship Id="rId10" Type="http://schemas.openxmlformats.org/officeDocument/2006/relationships/hyperlink" Target="http://www.consultant.ru/document/cons_doc_LAW_296695/cf1a9426ba878faee9824672bca283c1420a2b1e/" TargetMode="External"/><Relationship Id="rId19" Type="http://schemas.openxmlformats.org/officeDocument/2006/relationships/hyperlink" Target="http://www.consultant.ru/document/cons_doc_LAW_296695/7260ba686ad1fa7b436a67a764ee41663d78d2cb/" TargetMode="External"/><Relationship Id="rId4" Type="http://schemas.openxmlformats.org/officeDocument/2006/relationships/hyperlink" Target="http://www.consultant.ru/document/cons_doc_LAW_286552/b5315c892df7002ac987a311b4a242874fdcf420/" TargetMode="External"/><Relationship Id="rId9" Type="http://schemas.openxmlformats.org/officeDocument/2006/relationships/hyperlink" Target="http://www.consultant.ru/document/cons_doc_LAW_296695/cf1a9426ba878faee9824672bca283c1420a2b1e/" TargetMode="External"/><Relationship Id="rId14" Type="http://schemas.openxmlformats.org/officeDocument/2006/relationships/hyperlink" Target="http://www.consultant.ru/document/cons_doc_LAW_296695/7260ba686ad1fa7b436a67a764ee41663d78d2cb/" TargetMode="External"/><Relationship Id="rId22" Type="http://schemas.openxmlformats.org/officeDocument/2006/relationships/hyperlink" Target="http://www.consultant.ru/document/cons_doc_LAW_296695/7260ba686ad1fa7b436a67a764ee41663d78d2c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2018-05-28T02:33:00Z</dcterms:created>
  <dcterms:modified xsi:type="dcterms:W3CDTF">2018-05-28T02:34:00Z</dcterms:modified>
</cp:coreProperties>
</file>