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1141. Общие положения</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5"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6"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7" w:tooltip="Общие положения" w:history="1">
        <w:r w:rsidRPr="00031210">
          <w:rPr>
            <w:rFonts w:ascii="Arial" w:eastAsia="Times New Roman" w:hAnsi="Arial" w:cs="Arial"/>
            <w:b/>
            <w:bCs/>
            <w:color w:val="707070"/>
            <w:sz w:val="17"/>
            <w:szCs w:val="17"/>
            <w:lang w:eastAsia="ru-RU"/>
          </w:rPr>
          <w:t>[Статья 1141]</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Наследники по закону призываются к наследованию в порядке очередности, предусмотренной статьями 1142 - 1145 и 1148 настоящего Кодекса.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031210">
        <w:rPr>
          <w:rFonts w:ascii="Arial" w:eastAsia="Times New Roman" w:hAnsi="Arial" w:cs="Arial"/>
          <w:color w:val="000000"/>
          <w:sz w:val="20"/>
          <w:szCs w:val="20"/>
          <w:lang w:eastAsia="ru-RU"/>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roofErr w:type="gramEnd"/>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Наследники одной очереди наследуют в равных долях, за исключением наследников, наследующих по праву представления (статья 1146).</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1142. Наследники первой очереди</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8"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9"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10" w:tooltip="Наследники первой очереди" w:history="1">
        <w:r w:rsidRPr="00031210">
          <w:rPr>
            <w:rFonts w:ascii="Arial" w:eastAsia="Times New Roman" w:hAnsi="Arial" w:cs="Arial"/>
            <w:b/>
            <w:bCs/>
            <w:color w:val="707070"/>
            <w:sz w:val="17"/>
            <w:szCs w:val="17"/>
            <w:lang w:eastAsia="ru-RU"/>
          </w:rPr>
          <w:t>[Статья 1142]</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Наследниками первой очереди по закону являются дети, супруг и родители наследодателя.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Внуки наследодателя и их потомки наследуют по праву представления.</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1143. Наследники второй очереди</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11"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12"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13" w:tooltip="Наследники второй очереди" w:history="1">
        <w:r w:rsidRPr="00031210">
          <w:rPr>
            <w:rFonts w:ascii="Arial" w:eastAsia="Times New Roman" w:hAnsi="Arial" w:cs="Arial"/>
            <w:b/>
            <w:bCs/>
            <w:color w:val="707070"/>
            <w:sz w:val="17"/>
            <w:szCs w:val="17"/>
            <w:lang w:eastAsia="ru-RU"/>
          </w:rPr>
          <w:t>[Статья 1143]</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1. Если нет наследников первой очереди, наследниками второй очереди по закону являются полнородные и </w:t>
      </w:r>
      <w:proofErr w:type="spellStart"/>
      <w:r w:rsidRPr="00031210">
        <w:rPr>
          <w:rFonts w:ascii="Arial" w:eastAsia="Times New Roman" w:hAnsi="Arial" w:cs="Arial"/>
          <w:color w:val="000000"/>
          <w:sz w:val="20"/>
          <w:szCs w:val="20"/>
          <w:lang w:eastAsia="ru-RU"/>
        </w:rPr>
        <w:t>неполнородные</w:t>
      </w:r>
      <w:proofErr w:type="spellEnd"/>
      <w:r w:rsidRPr="00031210">
        <w:rPr>
          <w:rFonts w:ascii="Arial" w:eastAsia="Times New Roman" w:hAnsi="Arial" w:cs="Arial"/>
          <w:color w:val="000000"/>
          <w:sz w:val="20"/>
          <w:szCs w:val="20"/>
          <w:lang w:eastAsia="ru-RU"/>
        </w:rPr>
        <w:t xml:space="preserve"> братья и сестры наследодателя, его дедушка и </w:t>
      </w:r>
      <w:proofErr w:type="gramStart"/>
      <w:r w:rsidRPr="00031210">
        <w:rPr>
          <w:rFonts w:ascii="Arial" w:eastAsia="Times New Roman" w:hAnsi="Arial" w:cs="Arial"/>
          <w:color w:val="000000"/>
          <w:sz w:val="20"/>
          <w:szCs w:val="20"/>
          <w:lang w:eastAsia="ru-RU"/>
        </w:rPr>
        <w:t>бабушка</w:t>
      </w:r>
      <w:proofErr w:type="gramEnd"/>
      <w:r w:rsidRPr="00031210">
        <w:rPr>
          <w:rFonts w:ascii="Arial" w:eastAsia="Times New Roman" w:hAnsi="Arial" w:cs="Arial"/>
          <w:color w:val="000000"/>
          <w:sz w:val="20"/>
          <w:szCs w:val="20"/>
          <w:lang w:eastAsia="ru-RU"/>
        </w:rPr>
        <w:t xml:space="preserve"> как со стороны отца, так и со стороны матери.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2. Дети полнородных и </w:t>
      </w:r>
      <w:proofErr w:type="spellStart"/>
      <w:r w:rsidRPr="00031210">
        <w:rPr>
          <w:rFonts w:ascii="Arial" w:eastAsia="Times New Roman" w:hAnsi="Arial" w:cs="Arial"/>
          <w:color w:val="000000"/>
          <w:sz w:val="20"/>
          <w:szCs w:val="20"/>
          <w:lang w:eastAsia="ru-RU"/>
        </w:rPr>
        <w:t>неполнородных</w:t>
      </w:r>
      <w:proofErr w:type="spellEnd"/>
      <w:r w:rsidRPr="00031210">
        <w:rPr>
          <w:rFonts w:ascii="Arial" w:eastAsia="Times New Roman" w:hAnsi="Arial" w:cs="Arial"/>
          <w:color w:val="000000"/>
          <w:sz w:val="20"/>
          <w:szCs w:val="20"/>
          <w:lang w:eastAsia="ru-RU"/>
        </w:rPr>
        <w:t xml:space="preserve"> братьев и сестер наследодателя (племянники и племянницы наследодателя) наследуют по праву представления.</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1144. Наследники третьей очереди</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14"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15"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16" w:tooltip="Наследники третьей очереди" w:history="1">
        <w:r w:rsidRPr="00031210">
          <w:rPr>
            <w:rFonts w:ascii="Arial" w:eastAsia="Times New Roman" w:hAnsi="Arial" w:cs="Arial"/>
            <w:b/>
            <w:bCs/>
            <w:color w:val="707070"/>
            <w:sz w:val="17"/>
            <w:szCs w:val="17"/>
            <w:lang w:eastAsia="ru-RU"/>
          </w:rPr>
          <w:t>[Статья 1144]</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1. Если нет наследников первой и второй очереди, наследниками третьей очереди по закону являются полнородные и </w:t>
      </w:r>
      <w:proofErr w:type="spellStart"/>
      <w:r w:rsidRPr="00031210">
        <w:rPr>
          <w:rFonts w:ascii="Arial" w:eastAsia="Times New Roman" w:hAnsi="Arial" w:cs="Arial"/>
          <w:color w:val="000000"/>
          <w:sz w:val="20"/>
          <w:szCs w:val="20"/>
          <w:lang w:eastAsia="ru-RU"/>
        </w:rPr>
        <w:t>неполнородные</w:t>
      </w:r>
      <w:proofErr w:type="spellEnd"/>
      <w:r w:rsidRPr="00031210">
        <w:rPr>
          <w:rFonts w:ascii="Arial" w:eastAsia="Times New Roman" w:hAnsi="Arial" w:cs="Arial"/>
          <w:color w:val="000000"/>
          <w:sz w:val="20"/>
          <w:szCs w:val="20"/>
          <w:lang w:eastAsia="ru-RU"/>
        </w:rPr>
        <w:t xml:space="preserve"> братья и сестры родителей наследодателя (дяди и тети наследодателя).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Двоюродные братья и сестры наследодателя наследуют по праву представления.</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1145. Наследники последующих очередей</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17"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18"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19" w:tooltip="Наследники последующих очередей" w:history="1">
        <w:r w:rsidRPr="00031210">
          <w:rPr>
            <w:rFonts w:ascii="Arial" w:eastAsia="Times New Roman" w:hAnsi="Arial" w:cs="Arial"/>
            <w:b/>
            <w:bCs/>
            <w:color w:val="707070"/>
            <w:sz w:val="17"/>
            <w:szCs w:val="17"/>
            <w:lang w:eastAsia="ru-RU"/>
          </w:rPr>
          <w:t>[Статья 1145]</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В соответствии с пунктом 1 настоящей статьи призываются к наследованию:</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lastRenderedPageBreak/>
        <w:t>в качестве наследников четвертой очереди родственники третьей степени родства - прадедушки и прабабушки наследодателя;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1146. Наследование по праву представления</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20"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21"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22" w:tooltip="Наследование по праву представления" w:history="1">
        <w:r w:rsidRPr="00031210">
          <w:rPr>
            <w:rFonts w:ascii="Arial" w:eastAsia="Times New Roman" w:hAnsi="Arial" w:cs="Arial"/>
            <w:b/>
            <w:bCs/>
            <w:color w:val="707070"/>
            <w:sz w:val="17"/>
            <w:szCs w:val="17"/>
            <w:lang w:eastAsia="ru-RU"/>
          </w:rPr>
          <w:t>[Статья 1146]</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Не наследуют по праву представления потомки наследника по закону, лишенного наследодателем наследства (пункт 1 статьи 1119).</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1147. Наследование усыновленными и усыновителями</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23"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24"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25" w:tooltip="Наследование усыновленными и усыновителями" w:history="1">
        <w:r w:rsidRPr="00031210">
          <w:rPr>
            <w:rFonts w:ascii="Arial" w:eastAsia="Times New Roman" w:hAnsi="Arial" w:cs="Arial"/>
            <w:b/>
            <w:bCs/>
            <w:color w:val="707070"/>
            <w:sz w:val="17"/>
            <w:szCs w:val="17"/>
            <w:lang w:eastAsia="ru-RU"/>
          </w:rPr>
          <w:t>[Статья 1147]</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1. При наследовании по закону усыновленный и его потомство с одной стороны и </w:t>
      </w:r>
      <w:proofErr w:type="gramStart"/>
      <w:r w:rsidRPr="00031210">
        <w:rPr>
          <w:rFonts w:ascii="Arial" w:eastAsia="Times New Roman" w:hAnsi="Arial" w:cs="Arial"/>
          <w:color w:val="000000"/>
          <w:sz w:val="20"/>
          <w:szCs w:val="20"/>
          <w:lang w:eastAsia="ru-RU"/>
        </w:rPr>
        <w:t>усыновитель</w:t>
      </w:r>
      <w:proofErr w:type="gramEnd"/>
      <w:r w:rsidRPr="00031210">
        <w:rPr>
          <w:rFonts w:ascii="Arial" w:eastAsia="Times New Roman" w:hAnsi="Arial" w:cs="Arial"/>
          <w:color w:val="000000"/>
          <w:sz w:val="20"/>
          <w:szCs w:val="20"/>
          <w:lang w:eastAsia="ru-RU"/>
        </w:rPr>
        <w:t xml:space="preserve"> и его родственники - с другой приравниваются к родственникам по происхождению (кровным родственникам).</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Наследование в соответствии с настоящим пунктом не исключает наследования в соответствии с пунктом 1 настоящей статьи.</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1148. Наследование нетрудоспособными иждивенцами наследодателя</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26"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27"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28" w:tooltip="Наследование нетрудоспособными иждивенцами наследодателя" w:history="1">
        <w:r w:rsidRPr="00031210">
          <w:rPr>
            <w:rFonts w:ascii="Arial" w:eastAsia="Times New Roman" w:hAnsi="Arial" w:cs="Arial"/>
            <w:b/>
            <w:bCs/>
            <w:color w:val="707070"/>
            <w:sz w:val="17"/>
            <w:szCs w:val="17"/>
            <w:lang w:eastAsia="ru-RU"/>
          </w:rPr>
          <w:t>[Статья 1148]</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lastRenderedPageBreak/>
        <w:t xml:space="preserve">1. </w:t>
      </w:r>
      <w:proofErr w:type="gramStart"/>
      <w:r w:rsidRPr="00031210">
        <w:rPr>
          <w:rFonts w:ascii="Arial" w:eastAsia="Times New Roman" w:hAnsi="Arial" w:cs="Arial"/>
          <w:color w:val="000000"/>
          <w:sz w:val="20"/>
          <w:szCs w:val="20"/>
          <w:lang w:eastAsia="ru-RU"/>
        </w:rPr>
        <w:t>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rsidRPr="00031210">
        <w:rPr>
          <w:rFonts w:ascii="Arial" w:eastAsia="Times New Roman" w:hAnsi="Arial" w:cs="Arial"/>
          <w:color w:val="000000"/>
          <w:sz w:val="20"/>
          <w:szCs w:val="20"/>
          <w:lang w:eastAsia="ru-RU"/>
        </w:rPr>
        <w:t xml:space="preserve"> нет.</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1149. Право на обязательную долю в наследстве</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29"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30"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31" w:tooltip="Право на обязательную долю в наследстве" w:history="1">
        <w:r w:rsidRPr="00031210">
          <w:rPr>
            <w:rFonts w:ascii="Arial" w:eastAsia="Times New Roman" w:hAnsi="Arial" w:cs="Arial"/>
            <w:b/>
            <w:bCs/>
            <w:color w:val="707070"/>
            <w:sz w:val="17"/>
            <w:szCs w:val="17"/>
            <w:lang w:eastAsia="ru-RU"/>
          </w:rPr>
          <w:t>[Статья 1149]</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4. </w:t>
      </w:r>
      <w:proofErr w:type="gramStart"/>
      <w:r w:rsidRPr="00031210">
        <w:rPr>
          <w:rFonts w:ascii="Arial" w:eastAsia="Times New Roman" w:hAnsi="Arial" w:cs="Arial"/>
          <w:color w:val="000000"/>
          <w:sz w:val="20"/>
          <w:szCs w:val="20"/>
          <w:lang w:eastAsia="ru-RU"/>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rsidRPr="00031210">
        <w:rPr>
          <w:rFonts w:ascii="Arial" w:eastAsia="Times New Roman" w:hAnsi="Arial" w:cs="Arial"/>
          <w:color w:val="000000"/>
          <w:sz w:val="20"/>
          <w:szCs w:val="20"/>
          <w:lang w:eastAsia="ru-RU"/>
        </w:rP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1150. Права супруга при наследовании</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32"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33"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34" w:tooltip="Права супруга при наследовании" w:history="1">
        <w:r w:rsidRPr="00031210">
          <w:rPr>
            <w:rFonts w:ascii="Arial" w:eastAsia="Times New Roman" w:hAnsi="Arial" w:cs="Arial"/>
            <w:b/>
            <w:bCs/>
            <w:color w:val="707070"/>
            <w:sz w:val="17"/>
            <w:szCs w:val="17"/>
            <w:lang w:eastAsia="ru-RU"/>
          </w:rPr>
          <w:t>[Статья 1150]</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1151. Наследование выморочного имущества</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35"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36" w:tooltip="Наследование по закону" w:history="1">
        <w:r w:rsidRPr="00031210">
          <w:rPr>
            <w:rFonts w:ascii="Arial" w:eastAsia="Times New Roman" w:hAnsi="Arial" w:cs="Arial"/>
            <w:b/>
            <w:bCs/>
            <w:color w:val="707070"/>
            <w:sz w:val="17"/>
            <w:szCs w:val="17"/>
            <w:lang w:eastAsia="ru-RU"/>
          </w:rPr>
          <w:t>[Глава 63]</w:t>
        </w:r>
      </w:hyperlink>
      <w:r w:rsidRPr="00031210">
        <w:rPr>
          <w:rFonts w:ascii="Arial" w:eastAsia="Times New Roman" w:hAnsi="Arial" w:cs="Arial"/>
          <w:color w:val="000000"/>
          <w:sz w:val="20"/>
          <w:szCs w:val="20"/>
          <w:lang w:eastAsia="ru-RU"/>
        </w:rPr>
        <w:t> </w:t>
      </w:r>
      <w:hyperlink r:id="rId37" w:tooltip="Наследование выморочного имущества" w:history="1">
        <w:r w:rsidRPr="00031210">
          <w:rPr>
            <w:rFonts w:ascii="Arial" w:eastAsia="Times New Roman" w:hAnsi="Arial" w:cs="Arial"/>
            <w:b/>
            <w:bCs/>
            <w:color w:val="707070"/>
            <w:sz w:val="17"/>
            <w:szCs w:val="17"/>
            <w:lang w:eastAsia="ru-RU"/>
          </w:rPr>
          <w:t>[Статья 1151]</w:t>
        </w:r>
      </w:hyperlink>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1. В случае, если отсутствуют </w:t>
      </w:r>
      <w:proofErr w:type="gramStart"/>
      <w:r w:rsidRPr="00031210">
        <w:rPr>
          <w:rFonts w:ascii="Arial" w:eastAsia="Times New Roman" w:hAnsi="Arial" w:cs="Arial"/>
          <w:color w:val="000000"/>
          <w:sz w:val="20"/>
          <w:szCs w:val="20"/>
          <w:lang w:eastAsia="ru-RU"/>
        </w:rPr>
        <w:t>наследники</w:t>
      </w:r>
      <w:proofErr w:type="gramEnd"/>
      <w:r w:rsidRPr="00031210">
        <w:rPr>
          <w:rFonts w:ascii="Arial" w:eastAsia="Times New Roman" w:hAnsi="Arial" w:cs="Arial"/>
          <w:color w:val="000000"/>
          <w:sz w:val="20"/>
          <w:szCs w:val="20"/>
          <w:lang w:eastAsia="ru-RU"/>
        </w:rPr>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жилое помещение;</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земельный участок, а также расположенные на нем здания, сооружения, иные объекты недвижимого имущества;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доля в праве общей долевой собственности на указанные в абзацах втором и третьем настоящего пункта объекты недвижимого имущества.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Жилое помещение, указанное в абзаце втором настоящего пункта, включается в соответствующий жилищный фонд социального использования.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Иное выморочное имущество переходит в порядке наследования по закону в собственность Российской Федерации.</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031210" w:rsidRPr="00031210" w:rsidRDefault="00031210" w:rsidP="00031210">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031210">
        <w:rPr>
          <w:rFonts w:ascii="Arial" w:eastAsia="Times New Roman" w:hAnsi="Arial" w:cs="Arial"/>
          <w:b/>
          <w:bCs/>
          <w:color w:val="000000"/>
          <w:sz w:val="20"/>
          <w:szCs w:val="20"/>
          <w:lang w:eastAsia="ru-RU"/>
        </w:rPr>
        <w:t>Статья 256. Общая собственность супругов</w:t>
      </w:r>
    </w:p>
    <w:p w:rsidR="00031210" w:rsidRPr="00031210" w:rsidRDefault="00031210" w:rsidP="00031210">
      <w:pPr>
        <w:shd w:val="clear" w:color="auto" w:fill="FFFFFF"/>
        <w:spacing w:after="0" w:line="240" w:lineRule="atLeast"/>
        <w:rPr>
          <w:rFonts w:ascii="Arial" w:eastAsia="Times New Roman" w:hAnsi="Arial" w:cs="Arial"/>
          <w:color w:val="000000"/>
          <w:sz w:val="20"/>
          <w:szCs w:val="20"/>
          <w:lang w:eastAsia="ru-RU"/>
        </w:rPr>
      </w:pPr>
      <w:hyperlink r:id="rId38" w:tooltip="Гражданский кодекс РФ" w:history="1">
        <w:r w:rsidRPr="00031210">
          <w:rPr>
            <w:rFonts w:ascii="Arial" w:eastAsia="Times New Roman" w:hAnsi="Arial" w:cs="Arial"/>
            <w:b/>
            <w:bCs/>
            <w:color w:val="707070"/>
            <w:sz w:val="17"/>
            <w:szCs w:val="17"/>
            <w:lang w:eastAsia="ru-RU"/>
          </w:rPr>
          <w:t>[Гражданский кодекс РФ]</w:t>
        </w:r>
      </w:hyperlink>
      <w:r w:rsidRPr="00031210">
        <w:rPr>
          <w:rFonts w:ascii="Arial" w:eastAsia="Times New Roman" w:hAnsi="Arial" w:cs="Arial"/>
          <w:color w:val="000000"/>
          <w:sz w:val="20"/>
          <w:szCs w:val="20"/>
          <w:lang w:eastAsia="ru-RU"/>
        </w:rPr>
        <w:t> </w:t>
      </w:r>
      <w:hyperlink r:id="rId39" w:tooltip="Общая собственность" w:history="1">
        <w:r w:rsidRPr="00031210">
          <w:rPr>
            <w:rFonts w:ascii="Arial" w:eastAsia="Times New Roman" w:hAnsi="Arial" w:cs="Arial"/>
            <w:b/>
            <w:bCs/>
            <w:color w:val="707070"/>
            <w:sz w:val="17"/>
            <w:szCs w:val="17"/>
            <w:lang w:eastAsia="ru-RU"/>
          </w:rPr>
          <w:t>[Глава 16]</w:t>
        </w:r>
      </w:hyperlink>
      <w:r w:rsidRPr="00031210">
        <w:rPr>
          <w:rFonts w:ascii="Arial" w:eastAsia="Times New Roman" w:hAnsi="Arial" w:cs="Arial"/>
          <w:color w:val="000000"/>
          <w:sz w:val="20"/>
          <w:szCs w:val="20"/>
          <w:lang w:eastAsia="ru-RU"/>
        </w:rPr>
        <w:t> </w:t>
      </w:r>
      <w:hyperlink r:id="rId40" w:tooltip="Общая собственность супругов" w:history="1">
        <w:r w:rsidRPr="00031210">
          <w:rPr>
            <w:rFonts w:ascii="Arial" w:eastAsia="Times New Roman" w:hAnsi="Arial" w:cs="Arial"/>
            <w:b/>
            <w:bCs/>
            <w:color w:val="707070"/>
            <w:sz w:val="17"/>
            <w:szCs w:val="17"/>
            <w:lang w:eastAsia="ru-RU"/>
          </w:rPr>
          <w:t>[Статья 256]</w:t>
        </w:r>
      </w:hyperlink>
      <w:bookmarkStart w:id="0" w:name="_GoBack"/>
      <w:bookmarkEnd w:id="0"/>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w:t>
      </w:r>
      <w:r w:rsidRPr="00031210">
        <w:rPr>
          <w:rFonts w:ascii="Arial" w:eastAsia="Times New Roman" w:hAnsi="Arial" w:cs="Arial"/>
          <w:color w:val="000000"/>
          <w:sz w:val="20"/>
          <w:szCs w:val="20"/>
          <w:lang w:eastAsia="ru-RU"/>
        </w:rPr>
        <w:lastRenderedPageBreak/>
        <w:t>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sidRPr="00031210">
        <w:rPr>
          <w:rFonts w:ascii="Arial" w:eastAsia="Times New Roman" w:hAnsi="Arial" w:cs="Arial"/>
          <w:color w:val="000000"/>
          <w:sz w:val="20"/>
          <w:szCs w:val="20"/>
          <w:lang w:eastAsia="ru-RU"/>
        </w:rPr>
        <w:t>которая</w:t>
      </w:r>
      <w:proofErr w:type="gramEnd"/>
      <w:r w:rsidRPr="00031210">
        <w:rPr>
          <w:rFonts w:ascii="Arial" w:eastAsia="Times New Roman" w:hAnsi="Arial" w:cs="Arial"/>
          <w:color w:val="000000"/>
          <w:sz w:val="20"/>
          <w:szCs w:val="20"/>
          <w:lang w:eastAsia="ru-RU"/>
        </w:rPr>
        <w:t xml:space="preserve"> причиталась бы ему при разделе этого имущества.</w:t>
      </w:r>
    </w:p>
    <w:p w:rsidR="00031210" w:rsidRPr="00031210" w:rsidRDefault="00031210" w:rsidP="00031210">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031210">
        <w:rPr>
          <w:rFonts w:ascii="Arial" w:eastAsia="Times New Roman" w:hAnsi="Arial" w:cs="Arial"/>
          <w:color w:val="000000"/>
          <w:sz w:val="20"/>
          <w:szCs w:val="20"/>
          <w:lang w:eastAsia="ru-RU"/>
        </w:rPr>
        <w:t xml:space="preserve">4. Правила определения долей супругов в общем имуществе при его </w:t>
      </w:r>
      <w:proofErr w:type="gramStart"/>
      <w:r w:rsidRPr="00031210">
        <w:rPr>
          <w:rFonts w:ascii="Arial" w:eastAsia="Times New Roman" w:hAnsi="Arial" w:cs="Arial"/>
          <w:color w:val="000000"/>
          <w:sz w:val="20"/>
          <w:szCs w:val="20"/>
          <w:lang w:eastAsia="ru-RU"/>
        </w:rPr>
        <w:t>разделе</w:t>
      </w:r>
      <w:proofErr w:type="gramEnd"/>
      <w:r w:rsidRPr="00031210">
        <w:rPr>
          <w:rFonts w:ascii="Arial" w:eastAsia="Times New Roman" w:hAnsi="Arial" w:cs="Arial"/>
          <w:color w:val="000000"/>
          <w:sz w:val="20"/>
          <w:szCs w:val="20"/>
          <w:lang w:eastAsia="ru-RU"/>
        </w:rPr>
        <w:t xml:space="preserve"> и порядок такого раздела устанавливаются семейным законодательством.</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10"/>
    <w:rsid w:val="00000B7F"/>
    <w:rsid w:val="00000C7D"/>
    <w:rsid w:val="00002BBD"/>
    <w:rsid w:val="00006A84"/>
    <w:rsid w:val="00011F6C"/>
    <w:rsid w:val="00012407"/>
    <w:rsid w:val="00014A7D"/>
    <w:rsid w:val="000227C5"/>
    <w:rsid w:val="00025B44"/>
    <w:rsid w:val="00030083"/>
    <w:rsid w:val="00031210"/>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5798"/>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12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2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1210"/>
    <w:rPr>
      <w:color w:val="0000FF"/>
      <w:u w:val="single"/>
    </w:rPr>
  </w:style>
  <w:style w:type="character" w:customStyle="1" w:styleId="apple-converted-space">
    <w:name w:val="apple-converted-space"/>
    <w:basedOn w:val="a0"/>
    <w:rsid w:val="00031210"/>
  </w:style>
  <w:style w:type="paragraph" w:styleId="a4">
    <w:name w:val="Normal (Web)"/>
    <w:basedOn w:val="a"/>
    <w:uiPriority w:val="99"/>
    <w:semiHidden/>
    <w:unhideWhenUsed/>
    <w:rsid w:val="00031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12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21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31210"/>
    <w:rPr>
      <w:color w:val="0000FF"/>
      <w:u w:val="single"/>
    </w:rPr>
  </w:style>
  <w:style w:type="character" w:customStyle="1" w:styleId="apple-converted-space">
    <w:name w:val="apple-converted-space"/>
    <w:basedOn w:val="a0"/>
    <w:rsid w:val="00031210"/>
  </w:style>
  <w:style w:type="paragraph" w:styleId="a4">
    <w:name w:val="Normal (Web)"/>
    <w:basedOn w:val="a"/>
    <w:uiPriority w:val="99"/>
    <w:semiHidden/>
    <w:unhideWhenUsed/>
    <w:rsid w:val="000312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7429">
      <w:bodyDiv w:val="1"/>
      <w:marLeft w:val="0"/>
      <w:marRight w:val="0"/>
      <w:marTop w:val="0"/>
      <w:marBottom w:val="0"/>
      <w:divBdr>
        <w:top w:val="none" w:sz="0" w:space="0" w:color="auto"/>
        <w:left w:val="none" w:sz="0" w:space="0" w:color="auto"/>
        <w:bottom w:val="none" w:sz="0" w:space="0" w:color="auto"/>
        <w:right w:val="none" w:sz="0" w:space="0" w:color="auto"/>
      </w:divBdr>
    </w:div>
    <w:div w:id="428038968">
      <w:bodyDiv w:val="1"/>
      <w:marLeft w:val="0"/>
      <w:marRight w:val="0"/>
      <w:marTop w:val="0"/>
      <w:marBottom w:val="0"/>
      <w:divBdr>
        <w:top w:val="none" w:sz="0" w:space="0" w:color="auto"/>
        <w:left w:val="none" w:sz="0" w:space="0" w:color="auto"/>
        <w:bottom w:val="none" w:sz="0" w:space="0" w:color="auto"/>
        <w:right w:val="none" w:sz="0" w:space="0" w:color="auto"/>
      </w:divBdr>
    </w:div>
    <w:div w:id="492186324">
      <w:bodyDiv w:val="1"/>
      <w:marLeft w:val="0"/>
      <w:marRight w:val="0"/>
      <w:marTop w:val="0"/>
      <w:marBottom w:val="0"/>
      <w:divBdr>
        <w:top w:val="none" w:sz="0" w:space="0" w:color="auto"/>
        <w:left w:val="none" w:sz="0" w:space="0" w:color="auto"/>
        <w:bottom w:val="none" w:sz="0" w:space="0" w:color="auto"/>
        <w:right w:val="none" w:sz="0" w:space="0" w:color="auto"/>
      </w:divBdr>
    </w:div>
    <w:div w:id="564225001">
      <w:bodyDiv w:val="1"/>
      <w:marLeft w:val="0"/>
      <w:marRight w:val="0"/>
      <w:marTop w:val="0"/>
      <w:marBottom w:val="0"/>
      <w:divBdr>
        <w:top w:val="none" w:sz="0" w:space="0" w:color="auto"/>
        <w:left w:val="none" w:sz="0" w:space="0" w:color="auto"/>
        <w:bottom w:val="none" w:sz="0" w:space="0" w:color="auto"/>
        <w:right w:val="none" w:sz="0" w:space="0" w:color="auto"/>
      </w:divBdr>
    </w:div>
    <w:div w:id="614336493">
      <w:bodyDiv w:val="1"/>
      <w:marLeft w:val="0"/>
      <w:marRight w:val="0"/>
      <w:marTop w:val="0"/>
      <w:marBottom w:val="0"/>
      <w:divBdr>
        <w:top w:val="none" w:sz="0" w:space="0" w:color="auto"/>
        <w:left w:val="none" w:sz="0" w:space="0" w:color="auto"/>
        <w:bottom w:val="none" w:sz="0" w:space="0" w:color="auto"/>
        <w:right w:val="none" w:sz="0" w:space="0" w:color="auto"/>
      </w:divBdr>
    </w:div>
    <w:div w:id="914322466">
      <w:bodyDiv w:val="1"/>
      <w:marLeft w:val="0"/>
      <w:marRight w:val="0"/>
      <w:marTop w:val="0"/>
      <w:marBottom w:val="0"/>
      <w:divBdr>
        <w:top w:val="none" w:sz="0" w:space="0" w:color="auto"/>
        <w:left w:val="none" w:sz="0" w:space="0" w:color="auto"/>
        <w:bottom w:val="none" w:sz="0" w:space="0" w:color="auto"/>
        <w:right w:val="none" w:sz="0" w:space="0" w:color="auto"/>
      </w:divBdr>
    </w:div>
    <w:div w:id="1058672681">
      <w:bodyDiv w:val="1"/>
      <w:marLeft w:val="0"/>
      <w:marRight w:val="0"/>
      <w:marTop w:val="0"/>
      <w:marBottom w:val="0"/>
      <w:divBdr>
        <w:top w:val="none" w:sz="0" w:space="0" w:color="auto"/>
        <w:left w:val="none" w:sz="0" w:space="0" w:color="auto"/>
        <w:bottom w:val="none" w:sz="0" w:space="0" w:color="auto"/>
        <w:right w:val="none" w:sz="0" w:space="0" w:color="auto"/>
      </w:divBdr>
    </w:div>
    <w:div w:id="1717705308">
      <w:bodyDiv w:val="1"/>
      <w:marLeft w:val="0"/>
      <w:marRight w:val="0"/>
      <w:marTop w:val="0"/>
      <w:marBottom w:val="0"/>
      <w:divBdr>
        <w:top w:val="none" w:sz="0" w:space="0" w:color="auto"/>
        <w:left w:val="none" w:sz="0" w:space="0" w:color="auto"/>
        <w:bottom w:val="none" w:sz="0" w:space="0" w:color="auto"/>
        <w:right w:val="none" w:sz="0" w:space="0" w:color="auto"/>
      </w:divBdr>
    </w:div>
    <w:div w:id="1790274054">
      <w:bodyDiv w:val="1"/>
      <w:marLeft w:val="0"/>
      <w:marRight w:val="0"/>
      <w:marTop w:val="0"/>
      <w:marBottom w:val="0"/>
      <w:divBdr>
        <w:top w:val="none" w:sz="0" w:space="0" w:color="auto"/>
        <w:left w:val="none" w:sz="0" w:space="0" w:color="auto"/>
        <w:bottom w:val="none" w:sz="0" w:space="0" w:color="auto"/>
        <w:right w:val="none" w:sz="0" w:space="0" w:color="auto"/>
      </w:divBdr>
    </w:div>
    <w:div w:id="1958636451">
      <w:bodyDiv w:val="1"/>
      <w:marLeft w:val="0"/>
      <w:marRight w:val="0"/>
      <w:marTop w:val="0"/>
      <w:marBottom w:val="0"/>
      <w:divBdr>
        <w:top w:val="none" w:sz="0" w:space="0" w:color="auto"/>
        <w:left w:val="none" w:sz="0" w:space="0" w:color="auto"/>
        <w:bottom w:val="none" w:sz="0" w:space="0" w:color="auto"/>
        <w:right w:val="none" w:sz="0" w:space="0" w:color="auto"/>
      </w:divBdr>
    </w:div>
    <w:div w:id="1993556963">
      <w:bodyDiv w:val="1"/>
      <w:marLeft w:val="0"/>
      <w:marRight w:val="0"/>
      <w:marTop w:val="0"/>
      <w:marBottom w:val="0"/>
      <w:divBdr>
        <w:top w:val="none" w:sz="0" w:space="0" w:color="auto"/>
        <w:left w:val="none" w:sz="0" w:space="0" w:color="auto"/>
        <w:bottom w:val="none" w:sz="0" w:space="0" w:color="auto"/>
        <w:right w:val="none" w:sz="0" w:space="0" w:color="auto"/>
      </w:divBdr>
    </w:div>
    <w:div w:id="20826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gk/" TargetMode="External"/><Relationship Id="rId13" Type="http://schemas.openxmlformats.org/officeDocument/2006/relationships/hyperlink" Target="http://www.zakonrf.info/gk/1143/" TargetMode="External"/><Relationship Id="rId18" Type="http://schemas.openxmlformats.org/officeDocument/2006/relationships/hyperlink" Target="http://www.zakonrf.info/gk/gl63/" TargetMode="External"/><Relationship Id="rId26" Type="http://schemas.openxmlformats.org/officeDocument/2006/relationships/hyperlink" Target="http://www.zakonrf.info/gk/" TargetMode="External"/><Relationship Id="rId39" Type="http://schemas.openxmlformats.org/officeDocument/2006/relationships/hyperlink" Target="http://www.zakonrf.info/gk/gl16/" TargetMode="External"/><Relationship Id="rId3" Type="http://schemas.openxmlformats.org/officeDocument/2006/relationships/settings" Target="settings.xml"/><Relationship Id="rId21" Type="http://schemas.openxmlformats.org/officeDocument/2006/relationships/hyperlink" Target="http://www.zakonrf.info/gk/gl63/" TargetMode="External"/><Relationship Id="rId34" Type="http://schemas.openxmlformats.org/officeDocument/2006/relationships/hyperlink" Target="http://www.zakonrf.info/gk/1150/" TargetMode="External"/><Relationship Id="rId42" Type="http://schemas.openxmlformats.org/officeDocument/2006/relationships/theme" Target="theme/theme1.xml"/><Relationship Id="rId7" Type="http://schemas.openxmlformats.org/officeDocument/2006/relationships/hyperlink" Target="http://www.zakonrf.info/gk/1141/" TargetMode="External"/><Relationship Id="rId12" Type="http://schemas.openxmlformats.org/officeDocument/2006/relationships/hyperlink" Target="http://www.zakonrf.info/gk/gl63/" TargetMode="External"/><Relationship Id="rId17" Type="http://schemas.openxmlformats.org/officeDocument/2006/relationships/hyperlink" Target="http://www.zakonrf.info/gk/" TargetMode="External"/><Relationship Id="rId25" Type="http://schemas.openxmlformats.org/officeDocument/2006/relationships/hyperlink" Target="http://www.zakonrf.info/gk/1147/" TargetMode="External"/><Relationship Id="rId33" Type="http://schemas.openxmlformats.org/officeDocument/2006/relationships/hyperlink" Target="http://www.zakonrf.info/gk/gl63/" TargetMode="External"/><Relationship Id="rId38" Type="http://schemas.openxmlformats.org/officeDocument/2006/relationships/hyperlink" Target="http://www.zakonrf.info/gk/" TargetMode="External"/><Relationship Id="rId2" Type="http://schemas.microsoft.com/office/2007/relationships/stylesWithEffects" Target="stylesWithEffects.xml"/><Relationship Id="rId16" Type="http://schemas.openxmlformats.org/officeDocument/2006/relationships/hyperlink" Target="http://www.zakonrf.info/gk/1144/" TargetMode="External"/><Relationship Id="rId20" Type="http://schemas.openxmlformats.org/officeDocument/2006/relationships/hyperlink" Target="http://www.zakonrf.info/gk/" TargetMode="External"/><Relationship Id="rId29" Type="http://schemas.openxmlformats.org/officeDocument/2006/relationships/hyperlink" Target="http://www.zakonrf.info/g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rf.info/gk/gl63/" TargetMode="External"/><Relationship Id="rId11" Type="http://schemas.openxmlformats.org/officeDocument/2006/relationships/hyperlink" Target="http://www.zakonrf.info/gk/" TargetMode="External"/><Relationship Id="rId24" Type="http://schemas.openxmlformats.org/officeDocument/2006/relationships/hyperlink" Target="http://www.zakonrf.info/gk/gl63/" TargetMode="External"/><Relationship Id="rId32" Type="http://schemas.openxmlformats.org/officeDocument/2006/relationships/hyperlink" Target="http://www.zakonrf.info/gk/" TargetMode="External"/><Relationship Id="rId37" Type="http://schemas.openxmlformats.org/officeDocument/2006/relationships/hyperlink" Target="http://www.zakonrf.info/gk/1151/" TargetMode="External"/><Relationship Id="rId40" Type="http://schemas.openxmlformats.org/officeDocument/2006/relationships/hyperlink" Target="http://www.zakonrf.info/gk/256/" TargetMode="External"/><Relationship Id="rId5" Type="http://schemas.openxmlformats.org/officeDocument/2006/relationships/hyperlink" Target="http://www.zakonrf.info/gk/" TargetMode="External"/><Relationship Id="rId15" Type="http://schemas.openxmlformats.org/officeDocument/2006/relationships/hyperlink" Target="http://www.zakonrf.info/gk/gl63/" TargetMode="External"/><Relationship Id="rId23" Type="http://schemas.openxmlformats.org/officeDocument/2006/relationships/hyperlink" Target="http://www.zakonrf.info/gk/" TargetMode="External"/><Relationship Id="rId28" Type="http://schemas.openxmlformats.org/officeDocument/2006/relationships/hyperlink" Target="http://www.zakonrf.info/gk/1148/" TargetMode="External"/><Relationship Id="rId36" Type="http://schemas.openxmlformats.org/officeDocument/2006/relationships/hyperlink" Target="http://www.zakonrf.info/gk/gl63/" TargetMode="External"/><Relationship Id="rId10" Type="http://schemas.openxmlformats.org/officeDocument/2006/relationships/hyperlink" Target="http://www.zakonrf.info/gk/1142/" TargetMode="External"/><Relationship Id="rId19" Type="http://schemas.openxmlformats.org/officeDocument/2006/relationships/hyperlink" Target="http://www.zakonrf.info/gk/1145/" TargetMode="External"/><Relationship Id="rId31" Type="http://schemas.openxmlformats.org/officeDocument/2006/relationships/hyperlink" Target="http://www.zakonrf.info/gk/1149/" TargetMode="External"/><Relationship Id="rId4" Type="http://schemas.openxmlformats.org/officeDocument/2006/relationships/webSettings" Target="webSettings.xml"/><Relationship Id="rId9" Type="http://schemas.openxmlformats.org/officeDocument/2006/relationships/hyperlink" Target="http://www.zakonrf.info/gk/gl63/" TargetMode="External"/><Relationship Id="rId14" Type="http://schemas.openxmlformats.org/officeDocument/2006/relationships/hyperlink" Target="http://www.zakonrf.info/gk/" TargetMode="External"/><Relationship Id="rId22" Type="http://schemas.openxmlformats.org/officeDocument/2006/relationships/hyperlink" Target="http://www.zakonrf.info/gk/1146/" TargetMode="External"/><Relationship Id="rId27" Type="http://schemas.openxmlformats.org/officeDocument/2006/relationships/hyperlink" Target="http://www.zakonrf.info/gk/gl63/" TargetMode="External"/><Relationship Id="rId30" Type="http://schemas.openxmlformats.org/officeDocument/2006/relationships/hyperlink" Target="http://www.zakonrf.info/gk/gl63/" TargetMode="External"/><Relationship Id="rId35"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2015-07-13T18:52:00Z</dcterms:created>
  <dcterms:modified xsi:type="dcterms:W3CDTF">2015-07-13T18:52:00Z</dcterms:modified>
</cp:coreProperties>
</file>